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0"/>
        <w:spacing w:line="0" w:lineRule="atLeast"/>
        <w:rPr>
          <w:rFonts w:hAnsi="宋体"/>
          <w:b/>
          <w:color w:val="auto"/>
          <w:sz w:val="32"/>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0" w:lineRule="atLeast"/>
        <w:jc w:val="center"/>
        <w:rPr>
          <w:rFonts w:hAnsi="宋体"/>
          <w:b/>
          <w:color w:val="auto"/>
          <w:sz w:val="36"/>
          <w:highlight w:val="none"/>
        </w:rPr>
      </w:pPr>
    </w:p>
    <w:p>
      <w:pPr>
        <w:pStyle w:val="10"/>
        <w:spacing w:line="400" w:lineRule="exact"/>
        <w:rPr>
          <w:rFonts w:hAnsi="宋体"/>
          <w:b/>
          <w:color w:val="auto"/>
          <w:sz w:val="36"/>
          <w:highlight w:val="none"/>
        </w:rPr>
      </w:pPr>
    </w:p>
    <w:p>
      <w:pPr>
        <w:pStyle w:val="10"/>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FJKZB-613012024-1</w:t>
      </w:r>
    </w:p>
    <w:p>
      <w:pPr>
        <w:pStyle w:val="10"/>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福建省女子监狱布草（床上用品）洗涤服务项目</w:t>
      </w:r>
    </w:p>
    <w:p>
      <w:pPr>
        <w:pStyle w:val="10"/>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6"/>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月</w:t>
      </w:r>
    </w:p>
    <w:p>
      <w:pPr>
        <w:pStyle w:val="3"/>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福建省女子监狱布草（床上用品）洗涤服务项目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FJKZB-613012024-1</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福建省女子监狱布草（床上用品）洗涤服务项目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bookmarkStart w:id="20" w:name="_GoBack"/>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bookmarkEnd w:id="20"/>
    <w:p>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7"/>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（若有）</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28"/>
          <w:color w:val="auto"/>
          <w:highlight w:val="none"/>
        </w:rPr>
      </w:pPr>
      <w:r>
        <w:rPr>
          <w:rStyle w:val="28"/>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4800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吴</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0591-23501480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田雪丽、欧文浩、黄姝琳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5"/>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pPr>
        <w:widowControl/>
        <w:spacing w:line="360" w:lineRule="auto"/>
        <w:ind w:firstLine="480" w:firstLineChars="200"/>
        <w:jc w:val="left"/>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3"/>
          <w:rFonts w:ascii="宋体" w:hAnsi="宋体" w:cs="宋体"/>
          <w:color w:val="auto"/>
          <w:sz w:val="24"/>
          <w:highlight w:val="none"/>
        </w:rPr>
        <w:t>http://121.42.9.114:8083/</w:t>
      </w:r>
      <w:r>
        <w:rPr>
          <w:rFonts w:ascii="宋体" w:hAnsi="宋体" w:cs="宋体"/>
          <w:color w:val="auto"/>
          <w:sz w:val="24"/>
          <w:highlight w:val="none"/>
        </w:rPr>
        <w:fldChar w:fldCharType="end"/>
      </w:r>
      <w:r>
        <w:rPr>
          <w:rStyle w:val="28"/>
          <w:rFonts w:hint="eastAsia" w:ascii="宋体" w:hAnsi="宋体" w:cs="宋体"/>
          <w:color w:val="auto"/>
          <w:kern w:val="0"/>
          <w:sz w:val="24"/>
          <w:highlight w:val="none"/>
        </w:rPr>
        <w:t>）上进行注册、报名（上传响应文件）、网上竞价等相关操作，具体操作指南详见网上竞价平台（网址：</w:t>
      </w:r>
      <w:r>
        <w:rPr>
          <w:rStyle w:val="23"/>
          <w:rFonts w:ascii="宋体" w:hAnsi="宋体" w:cs="宋体"/>
          <w:color w:val="auto"/>
          <w:sz w:val="24"/>
          <w:highlight w:val="none"/>
        </w:rPr>
        <w:fldChar w:fldCharType="begin"/>
      </w:r>
      <w:r>
        <w:rPr>
          <w:rStyle w:val="23"/>
          <w:rFonts w:ascii="宋体" w:hAnsi="宋体" w:cs="宋体"/>
          <w:color w:val="auto"/>
          <w:sz w:val="24"/>
          <w:highlight w:val="none"/>
        </w:rPr>
        <w:instrText xml:space="preserve"> HYPERLINK "https://www.jiankunzx.com/yewuliucheng/1503.html" </w:instrText>
      </w:r>
      <w:r>
        <w:rPr>
          <w:rStyle w:val="23"/>
          <w:rFonts w:ascii="宋体" w:hAnsi="宋体" w:cs="宋体"/>
          <w:color w:val="auto"/>
          <w:sz w:val="24"/>
          <w:highlight w:val="none"/>
        </w:rPr>
        <w:fldChar w:fldCharType="separate"/>
      </w:r>
      <w:r>
        <w:rPr>
          <w:rStyle w:val="23"/>
          <w:rFonts w:ascii="宋体" w:hAnsi="宋体" w:cs="宋体"/>
          <w:color w:val="auto"/>
          <w:sz w:val="24"/>
          <w:highlight w:val="none"/>
        </w:rPr>
        <w:t>https://www.jiankunzx.com/yewuliucheng/1503.html</w:t>
      </w:r>
      <w:r>
        <w:rPr>
          <w:rStyle w:val="23"/>
          <w:rFonts w:ascii="宋体" w:hAnsi="宋体" w:cs="宋体"/>
          <w:color w:val="auto"/>
          <w:sz w:val="24"/>
          <w:highlight w:val="none"/>
        </w:rPr>
        <w:fldChar w:fldCharType="end"/>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2"/>
          <w:rFonts w:hint="eastAsia"/>
          <w:color w:val="auto"/>
          <w:highlight w:val="none"/>
        </w:rPr>
        <w:t>报名审核不合格，视为无效响应：</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pPr>
        <w:pStyle w:val="16"/>
        <w:spacing w:before="75" w:beforeAutospacing="0" w:after="75" w:afterAutospacing="0" w:line="360" w:lineRule="auto"/>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color w:val="auto"/>
          <w:kern w:val="0"/>
          <w:sz w:val="24"/>
          <w:highlight w:val="none"/>
        </w:rPr>
      </w:pPr>
      <w:r>
        <w:rPr>
          <w:rStyle w:val="28"/>
          <w:rFonts w:hint="eastAsia" w:ascii="宋体" w:hAnsi="宋体"/>
          <w:color w:val="auto"/>
          <w:kern w:val="0"/>
          <w:sz w:val="24"/>
          <w:highlight w:val="none"/>
        </w:rPr>
        <w:t>2.供应商</w:t>
      </w:r>
      <w:r>
        <w:rPr>
          <w:rStyle w:val="28"/>
          <w:rFonts w:ascii="宋体" w:hAnsi="宋体"/>
          <w:color w:val="auto"/>
          <w:kern w:val="0"/>
          <w:sz w:val="24"/>
          <w:highlight w:val="none"/>
        </w:rPr>
        <w:t>首次提交的报价</w:t>
      </w:r>
      <w:r>
        <w:rPr>
          <w:rStyle w:val="28"/>
          <w:rFonts w:hint="eastAsia" w:ascii="宋体" w:hAnsi="宋体"/>
          <w:color w:val="auto"/>
          <w:kern w:val="0"/>
          <w:sz w:val="24"/>
          <w:highlight w:val="none"/>
        </w:rPr>
        <w:t>总价</w:t>
      </w:r>
      <w:r>
        <w:rPr>
          <w:rStyle w:val="28"/>
          <w:rFonts w:ascii="宋体" w:hAnsi="宋体"/>
          <w:color w:val="auto"/>
          <w:kern w:val="0"/>
          <w:sz w:val="24"/>
          <w:highlight w:val="none"/>
        </w:rPr>
        <w:t>须</w:t>
      </w:r>
      <w:r>
        <w:rPr>
          <w:rStyle w:val="28"/>
          <w:rFonts w:hint="eastAsia" w:ascii="宋体" w:hAnsi="宋体"/>
          <w:color w:val="auto"/>
          <w:kern w:val="0"/>
          <w:sz w:val="24"/>
          <w:highlight w:val="none"/>
        </w:rPr>
        <w:t>低于</w:t>
      </w:r>
      <w:r>
        <w:rPr>
          <w:rStyle w:val="28"/>
          <w:rFonts w:ascii="宋体" w:hAnsi="宋体"/>
          <w:color w:val="auto"/>
          <w:kern w:val="0"/>
          <w:sz w:val="24"/>
          <w:highlight w:val="none"/>
        </w:rPr>
        <w:t>本项目</w:t>
      </w:r>
      <w:r>
        <w:rPr>
          <w:rStyle w:val="28"/>
          <w:rFonts w:hint="eastAsia" w:ascii="宋体" w:hAnsi="宋体"/>
          <w:color w:val="auto"/>
          <w:kern w:val="0"/>
          <w:sz w:val="24"/>
          <w:highlight w:val="none"/>
        </w:rPr>
        <w:t>总价</w:t>
      </w:r>
      <w:r>
        <w:rPr>
          <w:rStyle w:val="28"/>
          <w:rFonts w:ascii="宋体" w:hAnsi="宋体"/>
          <w:color w:val="auto"/>
          <w:kern w:val="0"/>
          <w:sz w:val="24"/>
          <w:highlight w:val="none"/>
        </w:rPr>
        <w:t>最高限价</w:t>
      </w:r>
      <w:r>
        <w:rPr>
          <w:rStyle w:val="28"/>
          <w:rFonts w:hint="eastAsia" w:ascii="宋体" w:hAnsi="宋体"/>
          <w:color w:val="auto"/>
          <w:kern w:val="0"/>
          <w:sz w:val="24"/>
          <w:highlight w:val="none"/>
        </w:rPr>
        <w:t>的</w:t>
      </w:r>
      <w:r>
        <w:rPr>
          <w:rStyle w:val="28"/>
          <w:rFonts w:ascii="宋体" w:hAnsi="宋体"/>
          <w:color w:val="auto"/>
          <w:kern w:val="0"/>
          <w:sz w:val="24"/>
          <w:highlight w:val="none"/>
        </w:rPr>
        <w:t>3%</w:t>
      </w:r>
      <w:r>
        <w:rPr>
          <w:rStyle w:val="28"/>
          <w:rFonts w:hint="eastAsia" w:ascii="宋体" w:hAnsi="宋体"/>
          <w:color w:val="auto"/>
          <w:kern w:val="0"/>
          <w:sz w:val="24"/>
          <w:highlight w:val="none"/>
        </w:rPr>
        <w:t>以上（不含</w:t>
      </w:r>
      <w:r>
        <w:rPr>
          <w:rStyle w:val="28"/>
          <w:rFonts w:ascii="宋体" w:hAnsi="宋体"/>
          <w:color w:val="auto"/>
          <w:kern w:val="0"/>
          <w:sz w:val="24"/>
          <w:highlight w:val="none"/>
        </w:rPr>
        <w:t>3%</w:t>
      </w:r>
      <w:r>
        <w:rPr>
          <w:rStyle w:val="28"/>
          <w:rFonts w:hint="eastAsia" w:ascii="宋体" w:hAnsi="宋体"/>
          <w:color w:val="auto"/>
          <w:kern w:val="0"/>
          <w:sz w:val="24"/>
          <w:highlight w:val="none"/>
        </w:rPr>
        <w:t>）</w:t>
      </w:r>
      <w:r>
        <w:rPr>
          <w:rStyle w:val="28"/>
          <w:rFonts w:ascii="宋体" w:hAnsi="宋体"/>
          <w:color w:val="auto"/>
          <w:kern w:val="0"/>
          <w:sz w:val="24"/>
          <w:highlight w:val="none"/>
        </w:rPr>
        <w:t>，否则</w:t>
      </w:r>
      <w:r>
        <w:rPr>
          <w:rStyle w:val="28"/>
          <w:rFonts w:ascii="宋体" w:hAnsi="宋体" w:cs="宋体"/>
          <w:color w:val="auto"/>
          <w:kern w:val="0"/>
          <w:sz w:val="24"/>
          <w:highlight w:val="none"/>
        </w:rPr>
        <w:t>视为无效报价</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3"/>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6"/>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9317661"/>
      <w:bookmarkStart w:id="2" w:name="_Toc358016816"/>
      <w:bookmarkStart w:id="3" w:name="_Toc347060296"/>
      <w:bookmarkStart w:id="4" w:name="_Toc346300367"/>
      <w:bookmarkStart w:id="5" w:name="_Toc330567034"/>
      <w:bookmarkStart w:id="6" w:name="_Toc327948617"/>
      <w:r>
        <w:rPr>
          <w:rFonts w:hint="eastAsia" w:ascii="宋体" w:hAnsi="宋体" w:cs="宋体"/>
          <w:b/>
          <w:color w:val="auto"/>
          <w:sz w:val="24"/>
          <w:highlight w:val="none"/>
        </w:rPr>
        <w:t>一、项目概述</w:t>
      </w:r>
      <w:bookmarkEnd w:id="1"/>
      <w:bookmarkEnd w:id="2"/>
    </w:p>
    <w:p>
      <w:pPr>
        <w:pStyle w:val="3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cs="宋体" w:asciiTheme="minorEastAsia" w:hAnsiTheme="minorEastAsia" w:eastAsiaTheme="minorEastAsia"/>
                <w:color w:val="auto"/>
                <w:spacing w:val="-2"/>
                <w:sz w:val="24"/>
                <w:highlight w:val="none"/>
              </w:rPr>
              <w:t>布草（床上用品）洗涤服务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color w:val="auto"/>
                <w:kern w:val="0"/>
                <w:sz w:val="24"/>
                <w:lang w:val="en-US" w:eastAsia="zh-CN"/>
              </w:rPr>
              <w:t>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肆拾捌万</w:t>
            </w:r>
            <w:r>
              <w:rPr>
                <w:rFonts w:hint="eastAsia" w:ascii="宋体" w:hAnsi="宋体"/>
                <w:color w:val="auto"/>
                <w:kern w:val="0"/>
                <w:sz w:val="24"/>
                <w:highlight w:val="none"/>
                <w:lang w:eastAsia="zh-CN"/>
              </w:rPr>
              <w:t>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宋体"/>
                <w:color w:val="auto"/>
                <w:kern w:val="0"/>
                <w:sz w:val="24"/>
                <w:lang w:val="en-US" w:eastAsia="zh-CN"/>
              </w:rPr>
              <w:t>480000</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auto"/>
                <w:kern w:val="0"/>
                <w:sz w:val="24"/>
                <w:highlight w:val="none"/>
                <w:lang w:eastAsia="zh-CN"/>
              </w:rPr>
            </w:pPr>
            <w:r>
              <w:rPr>
                <w:rFonts w:hint="eastAsia" w:ascii="宋体" w:hAnsi="宋体"/>
                <w:b/>
                <w:bCs/>
                <w:color w:val="auto"/>
                <w:kern w:val="0"/>
                <w:sz w:val="24"/>
                <w:highlight w:val="none"/>
                <w:shd w:val="clear"/>
                <w:lang w:eastAsia="zh-CN"/>
              </w:rPr>
              <w:t>注：本项目按月按实结算，结算总金额不超过本项目预算金额人民币</w:t>
            </w:r>
            <w:r>
              <w:rPr>
                <w:rFonts w:hint="eastAsia" w:ascii="宋体" w:hAnsi="宋体"/>
                <w:b/>
                <w:bCs/>
                <w:color w:val="auto"/>
                <w:kern w:val="0"/>
                <w:sz w:val="24"/>
                <w:highlight w:val="none"/>
                <w:shd w:val="clear"/>
                <w:lang w:val="en-US" w:eastAsia="zh-CN"/>
              </w:rPr>
              <w:t>48</w:t>
            </w:r>
            <w:r>
              <w:rPr>
                <w:rFonts w:hint="eastAsia" w:ascii="宋体" w:hAnsi="宋体"/>
                <w:b/>
                <w:bCs/>
                <w:color w:val="auto"/>
                <w:kern w:val="0"/>
                <w:sz w:val="24"/>
                <w:highlight w:val="none"/>
                <w:shd w:val="clear"/>
                <w:lang w:eastAsia="zh-CN"/>
              </w:rPr>
              <w:t>0000元整；（若在合同期内采购总金额已经达到本项目预算总金额，则本合同自动终止，超过预算金额的部分，采购人不承担支付价款的责任。合同总金额包括税费、服务人员的人工费、来往布草接送运输费以及服务时所使用的易耗材料等相关费用。）</w:t>
            </w:r>
          </w:p>
        </w:tc>
      </w:tr>
    </w:tbl>
    <w:p>
      <w:pPr>
        <w:pStyle w:val="5"/>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5"/>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福建省女子监狱布草（床上用品）洗涤服务项目</w:t>
      </w:r>
      <w:r>
        <w:rPr>
          <w:rFonts w:hint="eastAsia" w:cs="宋体"/>
          <w:b w:val="0"/>
          <w:bCs/>
          <w:color w:val="auto"/>
          <w:sz w:val="24"/>
          <w:highlight w:val="none"/>
        </w:rPr>
        <w:t>，预算金额</w:t>
      </w:r>
      <w:r>
        <w:rPr>
          <w:rFonts w:hint="eastAsia" w:cs="宋体"/>
          <w:b w:val="0"/>
          <w:bCs/>
          <w:color w:val="auto"/>
          <w:sz w:val="24"/>
          <w:highlight w:val="none"/>
          <w:lang w:val="en-US" w:eastAsia="zh-CN"/>
        </w:rPr>
        <w:t>48</w:t>
      </w:r>
      <w:r>
        <w:rPr>
          <w:rFonts w:hint="eastAsia" w:cs="宋体"/>
          <w:b w:val="0"/>
          <w:bCs/>
          <w:color w:val="auto"/>
          <w:sz w:val="24"/>
          <w:highlight w:val="none"/>
        </w:rPr>
        <w:t>万元。要求供应商根据本网上竞价文件提出的技术要求对所需技术服务等进行报价。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kern w:val="0"/>
          <w:sz w:val="24"/>
          <w:highlight w:val="none"/>
          <w:lang w:val="en-US" w:eastAsia="zh-CN"/>
        </w:rPr>
        <w:t>480000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kern w:val="0"/>
          <w:sz w:val="24"/>
          <w:highlight w:val="none"/>
          <w:lang w:val="en-US" w:eastAsia="zh-CN"/>
        </w:rPr>
        <w:t>480000</w:t>
      </w:r>
      <w:r>
        <w:rPr>
          <w:rFonts w:hint="eastAsia" w:ascii="宋体" w:hAnsi="宋体" w:cs="宋体"/>
          <w:color w:val="auto"/>
          <w:kern w:val="0"/>
          <w:sz w:val="24"/>
          <w:highlight w:val="none"/>
        </w:rPr>
        <w:t>元×0.9=</w:t>
      </w:r>
      <w:r>
        <w:rPr>
          <w:rFonts w:hint="eastAsia" w:ascii="宋体" w:hAnsi="宋体" w:cs="宋体"/>
          <w:color w:val="auto"/>
          <w:kern w:val="0"/>
          <w:sz w:val="24"/>
          <w:highlight w:val="none"/>
          <w:lang w:val="en-US" w:eastAsia="zh-CN"/>
        </w:rPr>
        <w:t>432</w:t>
      </w:r>
      <w:r>
        <w:rPr>
          <w:rFonts w:hint="eastAsia" w:ascii="宋体" w:hAnsi="宋体" w:cs="宋体"/>
          <w:color w:val="auto"/>
          <w:kern w:val="0"/>
          <w:sz w:val="24"/>
          <w:highlight w:val="none"/>
        </w:rPr>
        <w:t>000元。网上竞价结束后，将按照其所报的合同包投标总价÷</w:t>
      </w:r>
      <w:r>
        <w:rPr>
          <w:rFonts w:hint="eastAsia" w:ascii="宋体" w:hAnsi="宋体" w:cs="宋体"/>
          <w:color w:val="auto"/>
          <w:kern w:val="0"/>
          <w:sz w:val="24"/>
          <w:highlight w:val="none"/>
          <w:lang w:val="en-US" w:eastAsia="zh-CN"/>
        </w:rPr>
        <w:t>480000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autoSpaceDE w:val="0"/>
        <w:autoSpaceDN w:val="0"/>
        <w:adjustRightInd w:val="0"/>
        <w:spacing w:line="360" w:lineRule="auto"/>
        <w:outlineLvl w:val="1"/>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1.</w:t>
      </w:r>
      <w:r>
        <w:rPr>
          <w:rFonts w:hint="eastAsia" w:cs="仿宋" w:asciiTheme="minorEastAsia" w:hAnsiTheme="minorEastAsia" w:eastAsiaTheme="minorEastAsia"/>
          <w:color w:val="auto"/>
          <w:sz w:val="24"/>
          <w:highlight w:val="none"/>
        </w:rPr>
        <w:t>布草（床上用品）洗涤基准价依据以下清单为准：</w:t>
      </w:r>
    </w:p>
    <w:tbl>
      <w:tblPr>
        <w:tblStyle w:val="19"/>
        <w:tblW w:w="93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996"/>
        <w:gridCol w:w="2937"/>
        <w:gridCol w:w="1018"/>
        <w:gridCol w:w="920"/>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jc w:val="center"/>
        </w:trPr>
        <w:tc>
          <w:tcPr>
            <w:tcW w:w="495" w:type="dxa"/>
            <w:vAlign w:val="center"/>
          </w:tcPr>
          <w:p>
            <w:pPr>
              <w:pStyle w:val="36"/>
              <w:spacing w:before="0" w:line="360" w:lineRule="auto"/>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序号</w:t>
            </w:r>
          </w:p>
        </w:tc>
        <w:tc>
          <w:tcPr>
            <w:tcW w:w="1996" w:type="dxa"/>
            <w:vAlign w:val="center"/>
          </w:tcPr>
          <w:p>
            <w:pPr>
              <w:pStyle w:val="36"/>
              <w:spacing w:before="0" w:line="360" w:lineRule="auto"/>
              <w:ind w:left="0" w:right="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货物名称</w:t>
            </w:r>
          </w:p>
        </w:tc>
        <w:tc>
          <w:tcPr>
            <w:tcW w:w="2937" w:type="dxa"/>
            <w:vAlign w:val="center"/>
          </w:tcPr>
          <w:p>
            <w:pPr>
              <w:pStyle w:val="36"/>
              <w:spacing w:before="0" w:line="360" w:lineRule="auto"/>
              <w:ind w:right="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规格（cm)</w:t>
            </w:r>
          </w:p>
        </w:tc>
        <w:tc>
          <w:tcPr>
            <w:tcW w:w="1018" w:type="dxa"/>
            <w:vAlign w:val="center"/>
          </w:tcPr>
          <w:p>
            <w:pPr>
              <w:pStyle w:val="36"/>
              <w:spacing w:before="0" w:line="360" w:lineRule="auto"/>
              <w:ind w:left="0" w:right="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rPr>
              <w:t>单位</w:t>
            </w:r>
          </w:p>
        </w:tc>
        <w:tc>
          <w:tcPr>
            <w:tcW w:w="920" w:type="dxa"/>
            <w:vAlign w:val="center"/>
          </w:tcPr>
          <w:p>
            <w:pPr>
              <w:pStyle w:val="36"/>
              <w:spacing w:before="0" w:line="360" w:lineRule="auto"/>
              <w:ind w:left="0" w:right="0"/>
              <w:rPr>
                <w:rFonts w:cs="仿宋" w:asciiTheme="minorEastAsia" w:hAnsiTheme="minorEastAsia" w:eastAsiaTheme="minorEastAsia"/>
                <w:b/>
                <w:color w:val="auto"/>
                <w:sz w:val="24"/>
                <w:szCs w:val="24"/>
                <w:highlight w:val="none"/>
              </w:rPr>
            </w:pPr>
            <w:r>
              <w:rPr>
                <w:rFonts w:hint="eastAsia" w:cs="仿宋" w:asciiTheme="minorEastAsia" w:hAnsiTheme="minorEastAsia" w:eastAsiaTheme="minorEastAsia"/>
                <w:b/>
                <w:color w:val="auto"/>
                <w:sz w:val="24"/>
                <w:szCs w:val="24"/>
                <w:highlight w:val="none"/>
                <w:lang w:eastAsia="zh-CN"/>
              </w:rPr>
              <w:t>预估</w:t>
            </w:r>
            <w:r>
              <w:rPr>
                <w:rFonts w:hint="eastAsia" w:cs="仿宋" w:asciiTheme="minorEastAsia" w:hAnsiTheme="minorEastAsia" w:eastAsiaTheme="minorEastAsia"/>
                <w:b/>
                <w:color w:val="auto"/>
                <w:sz w:val="24"/>
                <w:szCs w:val="24"/>
                <w:highlight w:val="none"/>
              </w:rPr>
              <w:t>数量</w:t>
            </w:r>
          </w:p>
        </w:tc>
        <w:tc>
          <w:tcPr>
            <w:tcW w:w="1970" w:type="dxa"/>
            <w:vAlign w:val="center"/>
          </w:tcPr>
          <w:p>
            <w:pPr>
              <w:pStyle w:val="36"/>
              <w:spacing w:before="0" w:line="360" w:lineRule="auto"/>
              <w:ind w:left="0" w:right="0"/>
              <w:rPr>
                <w:rFonts w:cs="仿宋" w:asciiTheme="minorEastAsia" w:hAnsiTheme="minorEastAsia" w:eastAsiaTheme="minorEastAsia"/>
                <w:b/>
                <w:color w:val="auto"/>
                <w:sz w:val="24"/>
                <w:szCs w:val="24"/>
                <w:highlight w:val="none"/>
                <w:lang w:val="en-US"/>
              </w:rPr>
            </w:pPr>
            <w:r>
              <w:rPr>
                <w:rFonts w:hint="eastAsia" w:cs="仿宋" w:asciiTheme="minorEastAsia" w:hAnsiTheme="minorEastAsia" w:eastAsiaTheme="minorEastAsia"/>
                <w:b/>
                <w:color w:val="auto"/>
                <w:sz w:val="24"/>
                <w:szCs w:val="24"/>
                <w:highlight w:val="none"/>
              </w:rPr>
              <w:t>基准价（元）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495"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w:t>
            </w:r>
          </w:p>
        </w:tc>
        <w:tc>
          <w:tcPr>
            <w:tcW w:w="1996" w:type="dxa"/>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床单</w:t>
            </w:r>
          </w:p>
        </w:tc>
        <w:tc>
          <w:tcPr>
            <w:tcW w:w="2937" w:type="dxa"/>
            <w:vMerge w:val="restart"/>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单人床尺寸（以实物为准）</w:t>
            </w:r>
          </w:p>
        </w:tc>
        <w:tc>
          <w:tcPr>
            <w:tcW w:w="1018"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条</w:t>
            </w:r>
          </w:p>
        </w:tc>
        <w:tc>
          <w:tcPr>
            <w:tcW w:w="920" w:type="dxa"/>
            <w:vAlign w:val="center"/>
          </w:tcPr>
          <w:p>
            <w:pPr>
              <w:pStyle w:val="36"/>
              <w:spacing w:before="0" w:line="360" w:lineRule="auto"/>
              <w:ind w:left="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34200</w:t>
            </w:r>
          </w:p>
        </w:tc>
        <w:tc>
          <w:tcPr>
            <w:tcW w:w="1970" w:type="dxa"/>
            <w:vAlign w:val="center"/>
          </w:tcPr>
          <w:p>
            <w:pPr>
              <w:pStyle w:val="36"/>
              <w:spacing w:before="0" w:line="360" w:lineRule="auto"/>
              <w:ind w:left="0" w:leftChars="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495"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lang w:val="en-US"/>
              </w:rPr>
              <w:t>2</w:t>
            </w:r>
          </w:p>
        </w:tc>
        <w:tc>
          <w:tcPr>
            <w:tcW w:w="1996" w:type="dxa"/>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被套</w:t>
            </w:r>
          </w:p>
        </w:tc>
        <w:tc>
          <w:tcPr>
            <w:tcW w:w="2937" w:type="dxa"/>
            <w:vMerge w:val="continue"/>
            <w:vAlign w:val="center"/>
          </w:tcPr>
          <w:p>
            <w:pPr>
              <w:pStyle w:val="36"/>
              <w:spacing w:before="0" w:line="360" w:lineRule="auto"/>
              <w:ind w:left="0"/>
              <w:rPr>
                <w:rFonts w:cs="仿宋" w:asciiTheme="minorEastAsia" w:hAnsiTheme="minorEastAsia" w:eastAsiaTheme="minorEastAsia"/>
                <w:color w:val="auto"/>
                <w:sz w:val="24"/>
                <w:szCs w:val="24"/>
                <w:highlight w:val="none"/>
              </w:rPr>
            </w:pPr>
          </w:p>
        </w:tc>
        <w:tc>
          <w:tcPr>
            <w:tcW w:w="1018"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条</w:t>
            </w:r>
          </w:p>
        </w:tc>
        <w:tc>
          <w:tcPr>
            <w:tcW w:w="920" w:type="dxa"/>
            <w:vAlign w:val="center"/>
          </w:tcPr>
          <w:p>
            <w:pPr>
              <w:pStyle w:val="36"/>
              <w:spacing w:before="0" w:line="360" w:lineRule="auto"/>
              <w:ind w:left="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34200</w:t>
            </w:r>
          </w:p>
        </w:tc>
        <w:tc>
          <w:tcPr>
            <w:tcW w:w="1970" w:type="dxa"/>
            <w:vAlign w:val="center"/>
          </w:tcPr>
          <w:p>
            <w:pPr>
              <w:pStyle w:val="36"/>
              <w:spacing w:before="0" w:line="360" w:lineRule="auto"/>
              <w:ind w:left="0" w:leftChars="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495" w:type="dxa"/>
            <w:vAlign w:val="center"/>
          </w:tcPr>
          <w:p>
            <w:pPr>
              <w:pStyle w:val="36"/>
              <w:spacing w:before="0" w:line="360" w:lineRule="auto"/>
              <w:ind w:left="0"/>
              <w:rPr>
                <w:rFonts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3</w:t>
            </w:r>
          </w:p>
        </w:tc>
        <w:tc>
          <w:tcPr>
            <w:tcW w:w="1996" w:type="dxa"/>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枕套</w:t>
            </w:r>
          </w:p>
        </w:tc>
        <w:tc>
          <w:tcPr>
            <w:tcW w:w="2937" w:type="dxa"/>
            <w:vMerge w:val="restart"/>
            <w:vAlign w:val="center"/>
          </w:tcPr>
          <w:p>
            <w:pPr>
              <w:pStyle w:val="36"/>
              <w:spacing w:before="0" w:line="360" w:lineRule="auto"/>
              <w:ind w:left="0" w:right="0" w:firstLine="240" w:firstLineChars="1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标准尺寸（以实物为准）</w:t>
            </w:r>
          </w:p>
        </w:tc>
        <w:tc>
          <w:tcPr>
            <w:tcW w:w="1018"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个</w:t>
            </w:r>
          </w:p>
        </w:tc>
        <w:tc>
          <w:tcPr>
            <w:tcW w:w="920" w:type="dxa"/>
            <w:vAlign w:val="center"/>
          </w:tcPr>
          <w:p>
            <w:pPr>
              <w:pStyle w:val="36"/>
              <w:spacing w:before="0" w:line="360" w:lineRule="auto"/>
              <w:ind w:left="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34200</w:t>
            </w:r>
          </w:p>
        </w:tc>
        <w:tc>
          <w:tcPr>
            <w:tcW w:w="1970" w:type="dxa"/>
            <w:vAlign w:val="center"/>
          </w:tcPr>
          <w:p>
            <w:pPr>
              <w:pStyle w:val="36"/>
              <w:spacing w:before="0" w:line="360" w:lineRule="auto"/>
              <w:ind w:left="0" w:leftChars="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jc w:val="center"/>
        </w:trPr>
        <w:tc>
          <w:tcPr>
            <w:tcW w:w="495" w:type="dxa"/>
            <w:vAlign w:val="center"/>
          </w:tcPr>
          <w:p>
            <w:pPr>
              <w:pStyle w:val="36"/>
              <w:spacing w:before="0" w:line="360" w:lineRule="auto"/>
              <w:ind w:left="0"/>
              <w:rPr>
                <w:rFonts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4</w:t>
            </w:r>
          </w:p>
        </w:tc>
        <w:tc>
          <w:tcPr>
            <w:tcW w:w="1996" w:type="dxa"/>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被芯</w:t>
            </w:r>
          </w:p>
        </w:tc>
        <w:tc>
          <w:tcPr>
            <w:tcW w:w="2937" w:type="dxa"/>
            <w:vMerge w:val="continue"/>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p>
        </w:tc>
        <w:tc>
          <w:tcPr>
            <w:tcW w:w="1018"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床</w:t>
            </w:r>
          </w:p>
        </w:tc>
        <w:tc>
          <w:tcPr>
            <w:tcW w:w="920" w:type="dxa"/>
            <w:vAlign w:val="center"/>
          </w:tcPr>
          <w:p>
            <w:pPr>
              <w:pStyle w:val="36"/>
              <w:spacing w:before="0" w:line="360" w:lineRule="auto"/>
              <w:ind w:left="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500</w:t>
            </w:r>
          </w:p>
        </w:tc>
        <w:tc>
          <w:tcPr>
            <w:tcW w:w="1970" w:type="dxa"/>
            <w:vAlign w:val="center"/>
          </w:tcPr>
          <w:p>
            <w:pPr>
              <w:pStyle w:val="36"/>
              <w:spacing w:before="0" w:line="360" w:lineRule="auto"/>
              <w:ind w:left="0" w:leftChars="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 w:hRule="atLeast"/>
          <w:jc w:val="center"/>
        </w:trPr>
        <w:tc>
          <w:tcPr>
            <w:tcW w:w="495" w:type="dxa"/>
            <w:vAlign w:val="center"/>
          </w:tcPr>
          <w:p>
            <w:pPr>
              <w:pStyle w:val="36"/>
              <w:spacing w:before="0" w:line="360" w:lineRule="auto"/>
              <w:ind w:left="0"/>
              <w:rPr>
                <w:rFonts w:cs="仿宋" w:asciiTheme="minorEastAsia" w:hAnsiTheme="minorEastAsia" w:eastAsiaTheme="minorEastAsia"/>
                <w:color w:val="auto"/>
                <w:sz w:val="24"/>
                <w:szCs w:val="24"/>
                <w:highlight w:val="none"/>
                <w:lang w:val="en-US"/>
              </w:rPr>
            </w:pPr>
            <w:r>
              <w:rPr>
                <w:rFonts w:hint="eastAsia" w:cs="仿宋" w:asciiTheme="minorEastAsia" w:hAnsiTheme="minorEastAsia" w:eastAsiaTheme="minorEastAsia"/>
                <w:color w:val="auto"/>
                <w:sz w:val="24"/>
                <w:szCs w:val="24"/>
                <w:highlight w:val="none"/>
                <w:lang w:val="en-US"/>
              </w:rPr>
              <w:t>5</w:t>
            </w:r>
          </w:p>
        </w:tc>
        <w:tc>
          <w:tcPr>
            <w:tcW w:w="1996" w:type="dxa"/>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枕芯</w:t>
            </w:r>
          </w:p>
        </w:tc>
        <w:tc>
          <w:tcPr>
            <w:tcW w:w="2937" w:type="dxa"/>
            <w:vMerge w:val="continue"/>
            <w:vAlign w:val="center"/>
          </w:tcPr>
          <w:p>
            <w:pPr>
              <w:pStyle w:val="36"/>
              <w:spacing w:before="0" w:line="360" w:lineRule="auto"/>
              <w:ind w:left="0" w:right="0"/>
              <w:rPr>
                <w:rFonts w:cs="仿宋" w:asciiTheme="minorEastAsia" w:hAnsiTheme="minorEastAsia" w:eastAsiaTheme="minorEastAsia"/>
                <w:color w:val="auto"/>
                <w:sz w:val="24"/>
                <w:szCs w:val="24"/>
                <w:highlight w:val="none"/>
              </w:rPr>
            </w:pPr>
          </w:p>
        </w:tc>
        <w:tc>
          <w:tcPr>
            <w:tcW w:w="1018" w:type="dxa"/>
            <w:vAlign w:val="center"/>
          </w:tcPr>
          <w:p>
            <w:pPr>
              <w:pStyle w:val="36"/>
              <w:spacing w:before="0" w:line="360" w:lineRule="auto"/>
              <w:ind w:left="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床</w:t>
            </w:r>
          </w:p>
        </w:tc>
        <w:tc>
          <w:tcPr>
            <w:tcW w:w="920" w:type="dxa"/>
            <w:vAlign w:val="center"/>
          </w:tcPr>
          <w:p>
            <w:pPr>
              <w:pStyle w:val="36"/>
              <w:spacing w:before="0" w:line="360" w:lineRule="auto"/>
              <w:ind w:left="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500</w:t>
            </w:r>
          </w:p>
        </w:tc>
        <w:tc>
          <w:tcPr>
            <w:tcW w:w="1970" w:type="dxa"/>
            <w:vAlign w:val="center"/>
          </w:tcPr>
          <w:p>
            <w:pPr>
              <w:pStyle w:val="36"/>
              <w:spacing w:before="0" w:line="360" w:lineRule="auto"/>
              <w:ind w:left="0" w:leftChars="0"/>
              <w:rPr>
                <w:rFonts w:hint="default" w:cs="仿宋" w:asciiTheme="minorEastAsia" w:hAnsiTheme="minorEastAsia" w:eastAsiaTheme="minorEastAsia"/>
                <w:color w:val="auto"/>
                <w:sz w:val="24"/>
                <w:szCs w:val="24"/>
                <w:highlight w:val="none"/>
                <w:lang w:val="en-US" w:eastAsia="zh-CN"/>
              </w:rPr>
            </w:pPr>
            <w:r>
              <w:rPr>
                <w:rFonts w:hint="eastAsia" w:cs="仿宋" w:asciiTheme="minorEastAsia" w:hAnsiTheme="minorEastAsia" w:eastAsiaTheme="minorEastAsia"/>
                <w:color w:val="auto"/>
                <w:sz w:val="24"/>
                <w:szCs w:val="24"/>
                <w:highlight w:val="none"/>
                <w:lang w:val="en-US" w:eastAsia="zh-CN"/>
              </w:rPr>
              <w:t>6.9</w:t>
            </w:r>
          </w:p>
        </w:tc>
      </w:tr>
    </w:tbl>
    <w:p>
      <w:pPr>
        <w:spacing w:line="360" w:lineRule="auto"/>
        <w:rPr>
          <w:rFonts w:cs="仿宋" w:asciiTheme="minorEastAsia" w:hAnsiTheme="minorEastAsia" w:eastAsiaTheme="minorEastAsia"/>
          <w:b/>
          <w:bCs/>
          <w:color w:val="auto"/>
          <w:sz w:val="24"/>
          <w:highlight w:val="none"/>
        </w:rPr>
      </w:pPr>
      <w:r>
        <w:rPr>
          <w:rFonts w:hint="eastAsia" w:cs="仿宋" w:asciiTheme="minorEastAsia" w:hAnsiTheme="minorEastAsia" w:eastAsiaTheme="minorEastAsia"/>
          <w:b/>
          <w:bCs/>
          <w:color w:val="auto"/>
          <w:sz w:val="24"/>
          <w:highlight w:val="none"/>
          <w:lang w:val="en-US" w:eastAsia="zh-CN"/>
        </w:rPr>
        <w:t>2.</w:t>
      </w:r>
      <w:r>
        <w:rPr>
          <w:rFonts w:hint="eastAsia" w:cs="仿宋" w:asciiTheme="minorEastAsia" w:hAnsiTheme="minorEastAsia" w:eastAsiaTheme="minorEastAsia"/>
          <w:b/>
          <w:bCs/>
          <w:color w:val="auto"/>
          <w:sz w:val="24"/>
          <w:highlight w:val="none"/>
        </w:rPr>
        <w:t>服务内容及要求</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.1</w:t>
      </w:r>
      <w:r>
        <w:rPr>
          <w:rFonts w:hint="eastAsia" w:cs="仿宋" w:asciiTheme="minorEastAsia" w:hAnsiTheme="minorEastAsia" w:eastAsiaTheme="minorEastAsia"/>
          <w:color w:val="auto"/>
          <w:sz w:val="24"/>
          <w:highlight w:val="none"/>
        </w:rPr>
        <w:t>采购人及</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双方按约定时间、地点，由</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指定专人</w:t>
      </w:r>
      <w:r>
        <w:rPr>
          <w:rFonts w:hint="eastAsia" w:cs="仿宋" w:asciiTheme="minorEastAsia" w:hAnsiTheme="minorEastAsia" w:eastAsiaTheme="minorEastAsia"/>
          <w:color w:val="auto"/>
          <w:sz w:val="24"/>
          <w:highlight w:val="none"/>
          <w:lang w:eastAsia="zh-CN"/>
        </w:rPr>
        <w:t>（须提供固定交接人员姓名及联系方式）到场</w:t>
      </w:r>
      <w:r>
        <w:rPr>
          <w:rFonts w:hint="eastAsia" w:cs="仿宋" w:asciiTheme="minorEastAsia" w:hAnsiTheme="minorEastAsia" w:eastAsiaTheme="minorEastAsia"/>
          <w:color w:val="auto"/>
          <w:sz w:val="24"/>
          <w:highlight w:val="none"/>
        </w:rPr>
        <w:t>接收</w:t>
      </w:r>
      <w:r>
        <w:rPr>
          <w:rFonts w:hint="eastAsia" w:cs="仿宋" w:asciiTheme="minorEastAsia" w:hAnsiTheme="minorEastAsia" w:eastAsiaTheme="minorEastAsia"/>
          <w:color w:val="auto"/>
          <w:sz w:val="24"/>
          <w:highlight w:val="none"/>
          <w:lang w:eastAsia="zh-CN"/>
        </w:rPr>
        <w:t>或送还</w:t>
      </w:r>
      <w:r>
        <w:rPr>
          <w:rFonts w:hint="eastAsia" w:cs="仿宋" w:asciiTheme="minorEastAsia" w:hAnsiTheme="minorEastAsia" w:eastAsiaTheme="minorEastAsia"/>
          <w:color w:val="auto"/>
          <w:sz w:val="24"/>
          <w:highlight w:val="none"/>
        </w:rPr>
        <w:t>布草（床上用品）</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b/>
          <w:bCs/>
          <w:color w:val="auto"/>
          <w:sz w:val="24"/>
          <w:highlight w:val="none"/>
          <w:lang w:eastAsia="zh-CN"/>
        </w:rPr>
        <w:t>送还布草时，成交供应商应按采购人要求送达指定楼层</w:t>
      </w:r>
      <w:r>
        <w:rPr>
          <w:rFonts w:hint="eastAsia" w:cs="仿宋" w:asciiTheme="minorEastAsia" w:hAnsiTheme="minorEastAsia" w:eastAsiaTheme="minorEastAsia"/>
          <w:color w:val="auto"/>
          <w:sz w:val="24"/>
          <w:highlight w:val="none"/>
        </w:rPr>
        <w:t>，并按时做好洗涤布草的收送交接工作，确认洗涤布草的数量等。根据采购人的实际情况，需要</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增加布草（床上用品）接送次数的，采购人应提前通知</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应予以配合在要求的时间内提供服务。</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为采购人洗涤布草必须保证床单、被罩、枕套完成洗涤程序按照采购人质量标准执行，布草在投放柔顺剂剂量要适当，防止采购人布草硬化造成损失。</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为采购人洗涤布草要按照采购人要求进行包装及消杀。</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3</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接送布草人员和车辆因违规操作造成的一切意外伤害，采购人不承担任何责任，由</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自行解决。</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人员进入采购人行政区的要遵守采购人单位制度和疫情防控相关规定。</w:t>
      </w:r>
    </w:p>
    <w:p>
      <w:pPr>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4如遇上停水、停电、设备损坏等特殊情况，应及时通知采购人，并及时联系其他洗涤公司按时完成洗涤工作并交付采购人使用。</w:t>
      </w:r>
    </w:p>
    <w:p>
      <w:pPr>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2</w:t>
      </w:r>
      <w:r>
        <w:rPr>
          <w:rFonts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rPr>
        <w:t>5采购人每月按洗涤布草的实际发生量</w:t>
      </w:r>
      <w:r>
        <w:rPr>
          <w:rFonts w:hint="eastAsia" w:cs="仿宋" w:asciiTheme="minorEastAsia" w:hAnsiTheme="minorEastAsia" w:eastAsiaTheme="minorEastAsia"/>
          <w:color w:val="auto"/>
          <w:sz w:val="24"/>
          <w:highlight w:val="none"/>
          <w:lang w:eastAsia="zh-CN"/>
        </w:rPr>
        <w:t>（即扣掉返洗后实际送回的数量）</w:t>
      </w:r>
      <w:r>
        <w:rPr>
          <w:rFonts w:hint="eastAsia" w:cs="仿宋" w:asciiTheme="minorEastAsia" w:hAnsiTheme="minorEastAsia" w:eastAsiaTheme="minorEastAsia"/>
          <w:color w:val="auto"/>
          <w:sz w:val="24"/>
          <w:highlight w:val="none"/>
        </w:rPr>
        <w:t>支付</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洗涤服务费用，若因市场因素变化发生的其它款项均由</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自行负责。</w:t>
      </w:r>
    </w:p>
    <w:p>
      <w:pPr>
        <w:pStyle w:val="25"/>
        <w:spacing w:line="360" w:lineRule="auto"/>
        <w:rPr>
          <w:rFonts w:hint="default" w:eastAsia="宋体"/>
          <w:color w:val="auto"/>
          <w:lang w:val="en-US" w:eastAsia="zh-CN"/>
        </w:rPr>
      </w:pPr>
      <w:r>
        <w:rPr>
          <w:rFonts w:hint="eastAsia"/>
          <w:color w:val="auto"/>
          <w:lang w:val="en-US" w:eastAsia="zh-CN"/>
        </w:rPr>
        <w:t xml:space="preserve">   2.6每次送回布草存在返洗或缺少的数量，需在</w:t>
      </w:r>
      <w:r>
        <w:rPr>
          <w:rFonts w:hint="default" w:cs="仿宋" w:asciiTheme="minorEastAsia" w:hAnsiTheme="minorEastAsia" w:eastAsiaTheme="minorEastAsia"/>
          <w:color w:val="auto"/>
          <w:sz w:val="24"/>
          <w:highlight w:val="none"/>
          <w:lang w:eastAsia="zh-CN"/>
        </w:rPr>
        <w:t>下批次送还布草</w:t>
      </w:r>
      <w:r>
        <w:rPr>
          <w:rFonts w:hint="eastAsia" w:cs="仿宋" w:asciiTheme="minorEastAsia" w:hAnsiTheme="minorEastAsia" w:eastAsiaTheme="minorEastAsia"/>
          <w:color w:val="auto"/>
          <w:sz w:val="24"/>
          <w:highlight w:val="none"/>
          <w:lang w:eastAsia="zh-CN"/>
        </w:rPr>
        <w:t>一并送回。</w:t>
      </w:r>
    </w:p>
    <w:p>
      <w:pPr>
        <w:pStyle w:val="25"/>
        <w:rPr>
          <w:rFonts w:hint="eastAsia"/>
          <w:color w:val="auto"/>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3"/>
        <w:spacing w:after="0" w:line="360" w:lineRule="auto"/>
        <w:ind w:left="0" w:leftChars="0"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合同签订起</w:t>
      </w:r>
      <w:r>
        <w:rPr>
          <w:rFonts w:hint="eastAsia" w:ascii="宋体" w:hAnsi="宋体" w:cs="宋体"/>
          <w:b/>
          <w:bCs/>
          <w:color w:val="auto"/>
          <w:kern w:val="0"/>
          <w:sz w:val="24"/>
          <w:highlight w:val="none"/>
          <w:lang w:val="en-US" w:eastAsia="zh-CN"/>
        </w:rPr>
        <w:t>2年或</w:t>
      </w:r>
      <w:r>
        <w:rPr>
          <w:rFonts w:hint="eastAsia" w:ascii="宋体" w:hAnsi="宋体"/>
          <w:b/>
          <w:bCs/>
          <w:color w:val="auto"/>
          <w:kern w:val="0"/>
          <w:sz w:val="24"/>
          <w:highlight w:val="none"/>
          <w:shd w:val="clear"/>
          <w:lang w:eastAsia="zh-CN"/>
        </w:rPr>
        <w:t>合同期内采购总金额已经达到本项目预算总金额，则本合同自动终止</w:t>
      </w:r>
      <w:r>
        <w:rPr>
          <w:rFonts w:hint="eastAsia" w:ascii="宋体" w:hAnsi="宋体" w:cs="宋体"/>
          <w:b/>
          <w:bCs/>
          <w:color w:val="auto"/>
          <w:kern w:val="0"/>
          <w:sz w:val="24"/>
          <w:highlight w:val="none"/>
        </w:rPr>
        <w:t>。</w:t>
      </w:r>
    </w:p>
    <w:p>
      <w:pPr>
        <w:pStyle w:val="3"/>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3.交付条件：验收合格。</w:t>
      </w:r>
    </w:p>
    <w:p>
      <w:pPr>
        <w:pStyle w:val="3"/>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keepNext w:val="0"/>
        <w:keepLines w:val="0"/>
        <w:pageBreakBefore w:val="0"/>
        <w:kinsoku/>
        <w:wordWrap/>
        <w:overflowPunct/>
        <w:topLinePunct w:val="0"/>
        <w:autoSpaceDE/>
        <w:autoSpaceDN/>
        <w:bidi w:val="0"/>
        <w:adjustRightInd/>
        <w:snapToGrid/>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.支付方式：每月结算一次，按实结算，经采购人验收合格后，</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应在每月服务周期结束后的15日内（遇法定公休日节假日顺延）向采购人提供合法有效的增值税普通发票及相关结算材料，采购人在收到发票及相关材料后30日内支付。如</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不提供上述发票或提供发票不合格，采购人应顺延付款期限并且不承担任何责任。</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cs="仿宋" w:asciiTheme="minorEastAsia" w:hAnsiTheme="minorEastAsia" w:eastAsiaTheme="minorEastAsia"/>
          <w:b/>
          <w:bCs/>
          <w:color w:val="auto"/>
          <w:sz w:val="24"/>
          <w:highlight w:val="none"/>
          <w:lang w:eastAsia="zh-CN"/>
        </w:rPr>
      </w:pPr>
      <w:r>
        <w:rPr>
          <w:rFonts w:hint="eastAsia" w:ascii="宋体" w:hAnsi="宋体" w:cs="宋体"/>
          <w:b/>
          <w:bCs/>
          <w:color w:val="auto"/>
          <w:sz w:val="24"/>
          <w:highlight w:val="none"/>
          <w:lang w:val="en-US" w:eastAsia="zh-CN"/>
        </w:rPr>
        <w:t>6.</w:t>
      </w:r>
      <w:r>
        <w:rPr>
          <w:rFonts w:hint="eastAsia" w:cs="仿宋" w:asciiTheme="minorEastAsia" w:hAnsiTheme="minorEastAsia" w:eastAsiaTheme="minorEastAsia"/>
          <w:b/>
          <w:bCs/>
          <w:color w:val="auto"/>
          <w:sz w:val="24"/>
          <w:highlight w:val="none"/>
        </w:rPr>
        <w:t>验收方式及质量要求</w:t>
      </w:r>
      <w:r>
        <w:rPr>
          <w:rFonts w:hint="eastAsia" w:cs="仿宋" w:asciiTheme="minorEastAsia" w:hAnsiTheme="minorEastAsia" w:eastAsiaTheme="minorEastAsia"/>
          <w:b/>
          <w:bCs/>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.1验收标准</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采购人及</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双方按照约定的质量要求，对</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送还的洗涤成品进行验收。</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必须保证所提供的洗涤成品质量完全达到质量要求。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.2验收程序</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rPr>
        <w:t>采购人及</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双方共同对</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送还甲方的洗涤成品进行检查，主要检查内容为布草（床上用品）的类别数量及质量要求。采购人及</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双方根据验收实际情况对验收单进行共同签字确认。验收检查中确认洗涤质量不合格的由</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无条件立即收回返工。</w:t>
      </w:r>
      <w:r>
        <w:rPr>
          <w:rFonts w:hint="default" w:cs="仿宋" w:asciiTheme="minorEastAsia" w:hAnsiTheme="minorEastAsia" w:eastAsiaTheme="minorEastAsia"/>
          <w:color w:val="auto"/>
          <w:sz w:val="24"/>
          <w:highlight w:val="none"/>
          <w:lang w:eastAsia="zh-CN"/>
        </w:rPr>
        <w:t>对于当批次验收检查中因洗涤质量不合格的返工布草</w:t>
      </w:r>
      <w:r>
        <w:rPr>
          <w:rFonts w:hint="eastAsia" w:cs="仿宋" w:asciiTheme="minorEastAsia" w:hAnsiTheme="minorEastAsia" w:eastAsiaTheme="minorEastAsia"/>
          <w:color w:val="auto"/>
          <w:sz w:val="24"/>
          <w:highlight w:val="none"/>
        </w:rPr>
        <w:t>（床上用品）</w:t>
      </w:r>
      <w:r>
        <w:rPr>
          <w:rFonts w:hint="eastAsia" w:cs="仿宋" w:asciiTheme="minorEastAsia" w:hAnsiTheme="minorEastAsia" w:eastAsiaTheme="minorEastAsia"/>
          <w:color w:val="auto"/>
          <w:sz w:val="24"/>
          <w:highlight w:val="none"/>
          <w:lang w:eastAsia="zh-CN"/>
        </w:rPr>
        <w:t>及缺少的布草</w:t>
      </w:r>
      <w:r>
        <w:rPr>
          <w:rFonts w:hint="default"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eastAsia="zh-CN"/>
        </w:rPr>
        <w:t>成交供应商</w:t>
      </w:r>
      <w:r>
        <w:rPr>
          <w:rFonts w:hint="default" w:cs="仿宋" w:asciiTheme="minorEastAsia" w:hAnsiTheme="minorEastAsia" w:eastAsiaTheme="minorEastAsia"/>
          <w:color w:val="auto"/>
          <w:sz w:val="24"/>
          <w:highlight w:val="none"/>
          <w:lang w:eastAsia="zh-CN"/>
        </w:rPr>
        <w:t>应当在下批次送还布草时一同将上批次被返工的布草（床上用品）</w:t>
      </w:r>
      <w:r>
        <w:rPr>
          <w:rFonts w:hint="eastAsia" w:cs="仿宋" w:asciiTheme="minorEastAsia" w:hAnsiTheme="minorEastAsia" w:eastAsiaTheme="minorEastAsia"/>
          <w:color w:val="auto"/>
          <w:sz w:val="24"/>
          <w:highlight w:val="none"/>
          <w:lang w:eastAsia="zh-CN"/>
        </w:rPr>
        <w:t>、缺少的布草</w:t>
      </w:r>
      <w:r>
        <w:rPr>
          <w:rFonts w:hint="default" w:cs="仿宋" w:asciiTheme="minorEastAsia" w:hAnsiTheme="minorEastAsia" w:eastAsiaTheme="minorEastAsia"/>
          <w:color w:val="auto"/>
          <w:sz w:val="24"/>
          <w:highlight w:val="none"/>
          <w:lang w:eastAsia="zh-CN"/>
        </w:rPr>
        <w:t>送回</w:t>
      </w:r>
      <w:r>
        <w:rPr>
          <w:rFonts w:hint="eastAsia" w:cs="仿宋" w:asciiTheme="minorEastAsia" w:hAnsiTheme="minorEastAsia" w:eastAsiaTheme="minorEastAsia"/>
          <w:color w:val="auto"/>
          <w:sz w:val="24"/>
          <w:highlight w:val="none"/>
          <w:lang w:eastAsia="zh-CN"/>
        </w:rPr>
        <w:t>并</w:t>
      </w:r>
      <w:r>
        <w:rPr>
          <w:rFonts w:hint="default" w:cs="仿宋" w:asciiTheme="minorEastAsia" w:hAnsiTheme="minorEastAsia" w:eastAsiaTheme="minorEastAsia"/>
          <w:color w:val="auto"/>
          <w:sz w:val="24"/>
          <w:highlight w:val="none"/>
          <w:lang w:eastAsia="zh-CN"/>
        </w:rPr>
        <w:t>验收。</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rPr>
        <w:t>.3质量要求</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（1）布草质量要求：清洗干净、无污渍残留，熨烫平整、挺括，外观无变色、串色、脱色及颜色发灰现象；无残留异味；无因洗涤原因造成的织物发硬、起毛、划伤、破损；布草洗涤成品按照规范整理叠好。</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rPr>
        <w:t>（2）</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应按照采购人要求完成洗涤工作，在工作中严格执行《洗涤行业规范条例》、洗涤后的产品达到现行规范质量指标和质量标准；并有义务使用最优工艺和原料维护布草织物，以延长其使用寿命。不得使用任何有害人体健康的洗涤设备和原料。</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（1）成交供应商符合验收条件的，采购人应严格按照网上竞价文件要求在双方约定的时间内进行验收，采购人无正当理由不得无故拖延验收时间。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（2）成交供应商所提供的服务不符合合同要求且拒不整改的，采购人有权拒收并没收其履约保证金。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（3）成交供应商未经采购人同意单方面终止合同的，采购人将没收其履约保证金。 </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（4）因成交供应商违约对采购人造成损失的赔偿金及合同约定的违约金均可由采购人从未支付的合同款或履约保证金中扣除。</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ascii="宋体" w:hAnsi="宋体" w:eastAsia="宋体" w:cs="宋体"/>
          <w:b w:val="0"/>
          <w:bCs w:val="0"/>
          <w:color w:val="auto"/>
          <w:kern w:val="0"/>
          <w:sz w:val="24"/>
          <w:szCs w:val="24"/>
          <w:highlight w:val="none"/>
          <w:lang w:val="en-US" w:eastAsia="zh-CN" w:bidi="ar-SA"/>
        </w:rPr>
        <w:t>（5）因</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原因未能按照合同约定的时间接收及送达布草（床上用品）的</w:t>
      </w:r>
      <w:r>
        <w:rPr>
          <w:rFonts w:hint="eastAsia" w:cs="仿宋" w:asciiTheme="minorEastAsia" w:hAnsiTheme="minorEastAsia" w:eastAsiaTheme="minorEastAsia"/>
          <w:color w:val="auto"/>
          <w:sz w:val="24"/>
          <w:highlight w:val="none"/>
          <w:lang w:eastAsia="zh-CN"/>
        </w:rPr>
        <w:t>（包含返洗的布草）</w:t>
      </w:r>
      <w:r>
        <w:rPr>
          <w:rFonts w:hint="eastAsia" w:cs="仿宋" w:asciiTheme="minorEastAsia" w:hAnsiTheme="minorEastAsia" w:eastAsiaTheme="minorEastAsia"/>
          <w:color w:val="auto"/>
          <w:sz w:val="24"/>
          <w:highlight w:val="none"/>
        </w:rPr>
        <w:t>，</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应向采购人支付延迟每次500元违约金。如</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在接到采购人3次及以上通知和催促后仍未能及时接送布草（床上用品）的，采购人有权解除合同并不予支付当批次布草洗涤费用</w:t>
      </w:r>
      <w:r>
        <w:rPr>
          <w:rFonts w:hint="eastAsia" w:cs="仿宋" w:asciiTheme="minorEastAsia" w:hAnsiTheme="minorEastAsia" w:eastAsiaTheme="minorEastAsia"/>
          <w:color w:val="auto"/>
          <w:sz w:val="24"/>
          <w:highlight w:val="none"/>
          <w:lang w:eastAsia="zh-CN"/>
        </w:rPr>
        <w:t>，并不予退还履约保证金</w:t>
      </w:r>
      <w:r>
        <w:rPr>
          <w:rFonts w:hint="eastAsia" w:cs="仿宋" w:asciiTheme="minorEastAsia" w:hAnsiTheme="minorEastAsia" w:eastAsiaTheme="minorEastAsia"/>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未能按照合同规定的工作内容保质保量地完成布草（床上用品）洗涤工作，导致</w:t>
      </w:r>
      <w:r>
        <w:rPr>
          <w:rFonts w:hint="eastAsia" w:cs="仿宋" w:asciiTheme="minorEastAsia" w:hAnsiTheme="minorEastAsia" w:eastAsiaTheme="minorEastAsia"/>
          <w:color w:val="auto"/>
          <w:sz w:val="24"/>
          <w:highlight w:val="none"/>
          <w:lang w:eastAsia="zh-CN"/>
        </w:rPr>
        <w:t>每批次</w:t>
      </w:r>
      <w:r>
        <w:rPr>
          <w:rFonts w:hint="eastAsia" w:cs="仿宋" w:asciiTheme="minorEastAsia" w:hAnsiTheme="minorEastAsia" w:eastAsiaTheme="minorEastAsia"/>
          <w:color w:val="auto"/>
          <w:sz w:val="24"/>
          <w:highlight w:val="none"/>
        </w:rPr>
        <w:t>布草（床上用品）洗涤返洗</w:t>
      </w:r>
      <w:r>
        <w:rPr>
          <w:rFonts w:hint="eastAsia" w:cs="仿宋" w:asciiTheme="minorEastAsia" w:hAnsiTheme="minorEastAsia" w:eastAsiaTheme="minorEastAsia"/>
          <w:color w:val="auto"/>
          <w:sz w:val="24"/>
          <w:highlight w:val="none"/>
          <w:lang w:eastAsia="zh-CN"/>
        </w:rPr>
        <w:t>和缺少</w:t>
      </w:r>
      <w:r>
        <w:rPr>
          <w:rFonts w:hint="eastAsia" w:cs="仿宋" w:asciiTheme="minorEastAsia" w:hAnsiTheme="minorEastAsia" w:eastAsiaTheme="minorEastAsia"/>
          <w:color w:val="auto"/>
          <w:sz w:val="24"/>
          <w:highlight w:val="none"/>
        </w:rPr>
        <w:t>率</w:t>
      </w:r>
      <w:r>
        <w:rPr>
          <w:rFonts w:hint="eastAsia" w:cs="仿宋" w:asciiTheme="minorEastAsia" w:hAnsiTheme="minorEastAsia" w:eastAsiaTheme="minorEastAsia"/>
          <w:color w:val="auto"/>
          <w:sz w:val="24"/>
          <w:highlight w:val="none"/>
          <w:lang w:eastAsia="zh-CN"/>
        </w:rPr>
        <w:t>合计</w:t>
      </w:r>
      <w:r>
        <w:rPr>
          <w:rFonts w:hint="eastAsia" w:cs="仿宋" w:asciiTheme="minorEastAsia" w:hAnsiTheme="minorEastAsia" w:eastAsiaTheme="minorEastAsia"/>
          <w:color w:val="auto"/>
          <w:sz w:val="24"/>
          <w:highlight w:val="none"/>
        </w:rPr>
        <w:t>超过5%（含），每发现一次，</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应支付采购人500元作为违约金；</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无故断缺</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拖延超过三次以上的，采购人有权停止支付</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当月洗涤费用</w:t>
      </w:r>
      <w:r>
        <w:rPr>
          <w:rFonts w:hint="eastAsia" w:cs="仿宋" w:asciiTheme="minorEastAsia" w:hAnsiTheme="minorEastAsia" w:eastAsiaTheme="minorEastAsia"/>
          <w:color w:val="auto"/>
          <w:sz w:val="24"/>
          <w:highlight w:val="none"/>
          <w:lang w:eastAsia="zh-CN"/>
        </w:rPr>
        <w:t>，同时采购人有权</w:t>
      </w:r>
      <w:r>
        <w:rPr>
          <w:rFonts w:hint="eastAsia" w:cs="仿宋" w:asciiTheme="minorEastAsia" w:hAnsiTheme="minorEastAsia" w:eastAsiaTheme="minorEastAsia"/>
          <w:color w:val="auto"/>
          <w:sz w:val="24"/>
          <w:highlight w:val="none"/>
        </w:rPr>
        <w:t>单方解除合同</w:t>
      </w:r>
      <w:r>
        <w:rPr>
          <w:rFonts w:hint="eastAsia" w:cs="仿宋" w:asciiTheme="minorEastAsia" w:hAnsiTheme="minorEastAsia" w:eastAsiaTheme="minorEastAsia"/>
          <w:color w:val="auto"/>
          <w:sz w:val="24"/>
          <w:highlight w:val="none"/>
          <w:lang w:eastAsia="zh-CN"/>
        </w:rPr>
        <w:t>并不予退还履约保证金</w:t>
      </w:r>
      <w:r>
        <w:rPr>
          <w:rFonts w:hint="eastAsia" w:cs="仿宋" w:asciiTheme="minorEastAsia" w:hAnsiTheme="minorEastAsia" w:eastAsiaTheme="minorEastAsia"/>
          <w:color w:val="auto"/>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rPr>
        <w:t>因</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未能妥善保管运送采购人布草（床上用品）或由于</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洗涤不当等原因造成的布草（床上用品）污染变色、抽纱毛边、硬化、丢失等折损现象的，</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应根据布草（床上用品）进价赔偿采购人费用及因</w:t>
      </w:r>
      <w:r>
        <w:rPr>
          <w:rFonts w:hint="eastAsia" w:cs="仿宋" w:asciiTheme="minorEastAsia" w:hAnsiTheme="minorEastAsia" w:eastAsiaTheme="minorEastAsia"/>
          <w:color w:val="auto"/>
          <w:sz w:val="24"/>
          <w:highlight w:val="none"/>
          <w:lang w:eastAsia="zh-CN"/>
        </w:rPr>
        <w:t>成交供应商</w:t>
      </w:r>
      <w:r>
        <w:rPr>
          <w:rFonts w:hint="eastAsia" w:cs="仿宋" w:asciiTheme="minorEastAsia" w:hAnsiTheme="minorEastAsia" w:eastAsiaTheme="minorEastAsia"/>
          <w:color w:val="auto"/>
          <w:sz w:val="24"/>
          <w:highlight w:val="none"/>
        </w:rPr>
        <w:t>原因造成的其他损失。</w:t>
      </w:r>
    </w:p>
    <w:p>
      <w:pPr>
        <w:keepNext w:val="0"/>
        <w:keepLines w:val="0"/>
        <w:pageBreakBefore w:val="0"/>
        <w:kinsoku/>
        <w:wordWrap/>
        <w:overflowPunct/>
        <w:topLinePunct w:val="0"/>
        <w:autoSpaceDE/>
        <w:autoSpaceDN/>
        <w:bidi w:val="0"/>
        <w:adjustRightInd/>
        <w:snapToGrid/>
        <w:spacing w:line="360" w:lineRule="auto"/>
        <w:ind w:firstLine="480" w:firstLineChars="200"/>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签订合同后</w:t>
      </w:r>
      <w:r>
        <w:rPr>
          <w:rFonts w:hint="eastAsia" w:cs="宋体" w:asciiTheme="minorEastAsia" w:hAnsiTheme="minorEastAsia" w:eastAsiaTheme="minorEastAsia"/>
          <w:color w:val="auto"/>
          <w:sz w:val="24"/>
          <w:highlight w:val="none"/>
          <w:lang w:val="zh-TW" w:eastAsia="zh-TW"/>
        </w:rPr>
        <w:t>因</w:t>
      </w:r>
      <w:r>
        <w:rPr>
          <w:rFonts w:hint="eastAsia" w:cs="宋体" w:asciiTheme="minorEastAsia" w:hAnsiTheme="minorEastAsia" w:eastAsiaTheme="minorEastAsia"/>
          <w:color w:val="auto"/>
          <w:sz w:val="24"/>
          <w:highlight w:val="none"/>
          <w:lang w:val="zh-TW" w:eastAsia="zh-CN"/>
        </w:rPr>
        <w:t>成交供应商</w:t>
      </w:r>
      <w:r>
        <w:rPr>
          <w:rFonts w:hint="eastAsia" w:cs="宋体" w:asciiTheme="minorEastAsia" w:hAnsiTheme="minorEastAsia" w:eastAsiaTheme="minorEastAsia"/>
          <w:color w:val="auto"/>
          <w:sz w:val="24"/>
          <w:highlight w:val="none"/>
          <w:lang w:val="zh-TW" w:eastAsia="zh-TW"/>
        </w:rPr>
        <w:t>任何违约行为导致本合同无法正常</w:t>
      </w:r>
      <w:r>
        <w:rPr>
          <w:rFonts w:hint="eastAsia" w:cs="宋体" w:asciiTheme="minorEastAsia" w:hAnsiTheme="minorEastAsia" w:eastAsiaTheme="minorEastAsia"/>
          <w:color w:val="auto"/>
          <w:sz w:val="24"/>
          <w:highlight w:val="none"/>
          <w:lang w:val="zh-TW"/>
        </w:rPr>
        <w:t>继续</w:t>
      </w:r>
      <w:r>
        <w:rPr>
          <w:rFonts w:hint="eastAsia" w:cs="宋体" w:asciiTheme="minorEastAsia" w:hAnsiTheme="minorEastAsia" w:eastAsiaTheme="minorEastAsia"/>
          <w:color w:val="auto"/>
          <w:sz w:val="24"/>
          <w:highlight w:val="none"/>
          <w:lang w:val="zh-TW" w:eastAsia="zh-TW"/>
        </w:rPr>
        <w:t>履行或提前终止</w:t>
      </w:r>
      <w:r>
        <w:rPr>
          <w:rFonts w:hint="eastAsia" w:cs="宋体" w:asciiTheme="minorEastAsia" w:hAnsiTheme="minorEastAsia" w:eastAsiaTheme="minorEastAsia"/>
          <w:color w:val="auto"/>
          <w:sz w:val="24"/>
          <w:highlight w:val="none"/>
          <w:lang w:val="zh-TW"/>
        </w:rPr>
        <w:t>，</w:t>
      </w:r>
      <w:r>
        <w:rPr>
          <w:rFonts w:hint="eastAsia" w:cs="宋体" w:asciiTheme="minorEastAsia" w:hAnsiTheme="minorEastAsia" w:eastAsiaTheme="minorEastAsia"/>
          <w:color w:val="auto"/>
          <w:sz w:val="24"/>
          <w:highlight w:val="none"/>
          <w:lang w:val="zh-TW" w:eastAsia="zh-CN"/>
        </w:rPr>
        <w:t>采购人有权不予退还履约保证金</w:t>
      </w:r>
      <w:r>
        <w:rPr>
          <w:rFonts w:hint="eastAsia" w:cs="宋体" w:asciiTheme="minorEastAsia" w:hAnsiTheme="minorEastAsia" w:eastAsiaTheme="minorEastAsia"/>
          <w:color w:val="auto"/>
          <w:sz w:val="24"/>
          <w:highlight w:val="none"/>
          <w:lang w:val="zh-TW" w:eastAsia="zh-TW"/>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9</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不得将本项目进行分包或转包，如发现经查实，采购人有权单方解除合同</w:t>
      </w:r>
      <w:r>
        <w:rPr>
          <w:rFonts w:hint="eastAsia" w:cs="仿宋" w:asciiTheme="minorEastAsia" w:hAnsiTheme="minorEastAsia" w:eastAsiaTheme="minorEastAsia"/>
          <w:color w:val="auto"/>
          <w:sz w:val="24"/>
          <w:highlight w:val="none"/>
          <w:lang w:eastAsia="zh-CN"/>
        </w:rPr>
        <w:t>并不予退还履约保证金</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pacing w:val="10"/>
          <w:sz w:val="24"/>
          <w:highlight w:val="none"/>
          <w:lang w:eastAsia="zh-CN"/>
        </w:rPr>
        <w:t>成交供应商</w:t>
      </w:r>
      <w:r>
        <w:rPr>
          <w:rFonts w:hint="eastAsia" w:asciiTheme="minorEastAsia" w:hAnsiTheme="minorEastAsia" w:eastAsiaTheme="minorEastAsia"/>
          <w:color w:val="auto"/>
          <w:spacing w:val="10"/>
          <w:sz w:val="24"/>
          <w:highlight w:val="none"/>
        </w:rPr>
        <w:t>给甲方造成损失的，还应承担损失赔偿责任。</w:t>
      </w:r>
    </w:p>
    <w:p>
      <w:pPr>
        <w:keepNext w:val="0"/>
        <w:keepLines w:val="0"/>
        <w:pageBreakBefore w:val="0"/>
        <w:kinsoku/>
        <w:wordWrap/>
        <w:overflowPunct/>
        <w:topLinePunct w:val="0"/>
        <w:autoSpaceDE/>
        <w:autoSpaceDN/>
        <w:bidi w:val="0"/>
        <w:adjustRightInd/>
        <w:snapToGrid/>
        <w:spacing w:line="360" w:lineRule="auto"/>
        <w:ind w:firstLine="480" w:firstLineChars="200"/>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pacing w:val="10"/>
          <w:sz w:val="24"/>
          <w:highlight w:val="none"/>
          <w:lang w:eastAsia="zh-CN"/>
        </w:rPr>
        <w:t>成交供应商</w:t>
      </w:r>
      <w:r>
        <w:rPr>
          <w:rFonts w:hint="eastAsia" w:asciiTheme="minorEastAsia" w:hAnsiTheme="minorEastAsia" w:eastAsiaTheme="minorEastAsia"/>
          <w:color w:val="auto"/>
          <w:spacing w:val="10"/>
          <w:sz w:val="24"/>
          <w:highlight w:val="none"/>
        </w:rPr>
        <w:t>须遵守采购人防疫管理制度规定</w:t>
      </w:r>
      <w:r>
        <w:rPr>
          <w:rFonts w:hint="eastAsia" w:asciiTheme="minorEastAsia" w:hAnsiTheme="minorEastAsia" w:eastAsiaTheme="minorEastAsia"/>
          <w:color w:val="auto"/>
          <w:spacing w:val="10"/>
          <w:sz w:val="24"/>
          <w:highlight w:val="none"/>
          <w:lang w:eastAsia="zh-CN"/>
        </w:rPr>
        <w:t>，</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若违反规定，采购人有权单方解除合同</w:t>
      </w:r>
      <w:r>
        <w:rPr>
          <w:rFonts w:hint="eastAsia" w:cs="仿宋" w:asciiTheme="minorEastAsia" w:hAnsiTheme="minorEastAsia" w:eastAsiaTheme="minorEastAsia"/>
          <w:color w:val="auto"/>
          <w:sz w:val="24"/>
          <w:highlight w:val="none"/>
          <w:lang w:eastAsia="zh-CN"/>
        </w:rPr>
        <w:t>并不予退还履约保证金</w:t>
      </w:r>
      <w:r>
        <w:rPr>
          <w:rFonts w:hint="eastAsia" w:cs="宋体" w:asciiTheme="minorEastAsia" w:hAnsiTheme="minorEastAsia" w:eastAsiaTheme="minorEastAsia"/>
          <w:color w:val="auto"/>
          <w:sz w:val="24"/>
          <w:highlight w:val="none"/>
        </w:rPr>
        <w:t>，造成后果的，依法追究</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相应的法律责任。</w:t>
      </w:r>
    </w:p>
    <w:p>
      <w:pPr>
        <w:keepNext w:val="0"/>
        <w:keepLines w:val="0"/>
        <w:pageBreakBefore w:val="0"/>
        <w:kinsoku/>
        <w:wordWrap/>
        <w:overflowPunct/>
        <w:topLinePunct w:val="0"/>
        <w:autoSpaceDE/>
        <w:autoSpaceDN/>
        <w:bidi w:val="0"/>
        <w:adjustRightInd/>
        <w:snapToGrid/>
        <w:spacing w:line="360" w:lineRule="auto"/>
        <w:ind w:firstLine="480" w:firstLineChars="200"/>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在合同履行期间，若遇政府部门或上级单位出台有关该项目的政策调整，继续履行合同违反相关政策文件要求的，采购人须提前10日通知</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终止合同，因此造成的合同解除采购人不承担违约责任。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（12）除上述具体违约情形外，成交供应商出现不符合网上竞价文件、响应文件、合同要求的其他情形，每发现一次，需向采购人支付违约金2000元。</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b w:val="0"/>
          <w:bCs w:val="0"/>
          <w:color w:val="auto"/>
          <w:highlight w:val="none"/>
          <w:lang w:val="en-US"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13</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违约金采购人有权直接从应支付</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的费用中扣除。</w:t>
      </w:r>
    </w:p>
    <w:p>
      <w:pPr>
        <w:pStyle w:val="16"/>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2"/>
          <w:rFonts w:hint="eastAsia"/>
          <w:color w:val="auto"/>
          <w:highlight w:val="none"/>
        </w:rPr>
        <w:t>.诉讼相关费用承担：</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2"/>
          <w:color w:val="auto"/>
          <w:highlight w:val="none"/>
        </w:rPr>
      </w:pPr>
      <w:r>
        <w:rPr>
          <w:rStyle w:val="22"/>
          <w:rFonts w:hint="eastAsia"/>
          <w:color w:val="auto"/>
          <w:highlight w:val="none"/>
        </w:rPr>
        <w:t>1</w:t>
      </w:r>
      <w:r>
        <w:rPr>
          <w:rStyle w:val="22"/>
          <w:rFonts w:hint="eastAsia"/>
          <w:color w:val="auto"/>
          <w:highlight w:val="none"/>
          <w:lang w:val="en-US" w:eastAsia="zh-CN"/>
        </w:rPr>
        <w:t>0</w:t>
      </w:r>
      <w:r>
        <w:rPr>
          <w:rStyle w:val="22"/>
          <w:rFonts w:hint="eastAsia"/>
          <w:color w:val="auto"/>
          <w:highlight w:val="none"/>
        </w:rPr>
        <w:t>.专利权及知识产权：</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spacing w:before="0" w:beforeAutospacing="0" w:after="0" w:afterAutospacing="0" w:line="360" w:lineRule="auto"/>
        <w:ind w:firstLine="482" w:firstLineChars="200"/>
        <w:rPr>
          <w:color w:val="auto"/>
          <w:highlight w:val="none"/>
        </w:rPr>
      </w:pPr>
      <w:r>
        <w:rPr>
          <w:rStyle w:val="22"/>
          <w:rFonts w:hint="eastAsia"/>
          <w:color w:val="auto"/>
          <w:highlight w:val="none"/>
        </w:rPr>
        <w:t>1</w:t>
      </w:r>
      <w:r>
        <w:rPr>
          <w:rStyle w:val="22"/>
          <w:rFonts w:hint="eastAsia"/>
          <w:color w:val="auto"/>
          <w:highlight w:val="none"/>
          <w:lang w:val="en-US" w:eastAsia="zh-CN"/>
        </w:rPr>
        <w:t>1</w:t>
      </w:r>
      <w:r>
        <w:rPr>
          <w:rStyle w:val="22"/>
          <w:rFonts w:hint="eastAsia"/>
          <w:color w:val="auto"/>
          <w:highlight w:val="none"/>
        </w:rPr>
        <w:t>.保密条款：</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6"/>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360" w:lineRule="auto"/>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2068"/>
        <w:gridCol w:w="1446"/>
        <w:gridCol w:w="1238"/>
        <w:gridCol w:w="1654"/>
        <w:gridCol w:w="61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13" w:type="pct"/>
            <w:vAlign w:val="center"/>
          </w:tcPr>
          <w:p>
            <w:pPr>
              <w:pStyle w:val="1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778"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666"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890"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31" w:type="pct"/>
            <w:vAlign w:val="center"/>
          </w:tcPr>
          <w:p>
            <w:pPr>
              <w:pStyle w:val="16"/>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折扣</w:t>
            </w:r>
          </w:p>
        </w:tc>
        <w:tc>
          <w:tcPr>
            <w:tcW w:w="331"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43" w:type="pct"/>
            <w:vAlign w:val="center"/>
          </w:tcPr>
          <w:p>
            <w:pPr>
              <w:spacing w:line="360" w:lineRule="auto"/>
              <w:jc w:val="center"/>
              <w:rPr>
                <w:rFonts w:cs="宋体"/>
                <w:color w:val="auto"/>
                <w:highlight w:val="none"/>
              </w:rPr>
            </w:pPr>
          </w:p>
        </w:tc>
        <w:tc>
          <w:tcPr>
            <w:tcW w:w="1113" w:type="pct"/>
            <w:vAlign w:val="center"/>
          </w:tcPr>
          <w:p>
            <w:pPr>
              <w:widowControl/>
              <w:spacing w:line="360" w:lineRule="auto"/>
              <w:jc w:val="center"/>
              <w:textAlignment w:val="center"/>
              <w:rPr>
                <w:rFonts w:cs="宋体"/>
                <w:color w:val="auto"/>
                <w:highlight w:val="none"/>
              </w:rPr>
            </w:pPr>
          </w:p>
        </w:tc>
        <w:tc>
          <w:tcPr>
            <w:tcW w:w="778" w:type="pct"/>
            <w:vAlign w:val="center"/>
          </w:tcPr>
          <w:p>
            <w:pPr>
              <w:widowControl/>
              <w:spacing w:line="360" w:lineRule="auto"/>
              <w:jc w:val="center"/>
              <w:textAlignment w:val="center"/>
              <w:rPr>
                <w:rFonts w:cs="宋体"/>
                <w:color w:val="auto"/>
                <w:highlight w:val="none"/>
              </w:rPr>
            </w:pPr>
          </w:p>
        </w:tc>
        <w:tc>
          <w:tcPr>
            <w:tcW w:w="666" w:type="pct"/>
            <w:vAlign w:val="center"/>
          </w:tcPr>
          <w:p>
            <w:pPr>
              <w:pStyle w:val="16"/>
              <w:wordWrap w:val="0"/>
              <w:spacing w:beforeAutospacing="0" w:afterAutospacing="0" w:line="360" w:lineRule="auto"/>
              <w:jc w:val="center"/>
              <w:rPr>
                <w:color w:val="auto"/>
                <w:highlight w:val="none"/>
              </w:rPr>
            </w:pPr>
          </w:p>
        </w:tc>
        <w:tc>
          <w:tcPr>
            <w:tcW w:w="890" w:type="pct"/>
            <w:vAlign w:val="center"/>
          </w:tcPr>
          <w:p>
            <w:pPr>
              <w:pStyle w:val="16"/>
              <w:wordWrap w:val="0"/>
              <w:spacing w:beforeAutospacing="0" w:afterAutospacing="0" w:line="360" w:lineRule="auto"/>
              <w:jc w:val="center"/>
              <w:rPr>
                <w:color w:val="auto"/>
                <w:highlight w:val="none"/>
              </w:rPr>
            </w:pPr>
          </w:p>
        </w:tc>
        <w:tc>
          <w:tcPr>
            <w:tcW w:w="331" w:type="pct"/>
            <w:vAlign w:val="center"/>
          </w:tcPr>
          <w:p>
            <w:pPr>
              <w:pStyle w:val="16"/>
              <w:wordWrap w:val="0"/>
              <w:spacing w:beforeAutospacing="0" w:afterAutospacing="0" w:line="360" w:lineRule="auto"/>
              <w:jc w:val="center"/>
              <w:rPr>
                <w:color w:val="auto"/>
                <w:highlight w:val="none"/>
              </w:rPr>
            </w:pPr>
          </w:p>
        </w:tc>
        <w:tc>
          <w:tcPr>
            <w:tcW w:w="331"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7"/>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
        <w:spacing w:line="360" w:lineRule="auto"/>
        <w:rPr>
          <w:color w:val="auto"/>
          <w:sz w:val="24"/>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8"/>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5"/>
        <w:spacing w:line="360" w:lineRule="auto"/>
        <w:rPr>
          <w:color w:val="auto"/>
          <w:highlight w:val="none"/>
        </w:rPr>
      </w:pPr>
    </w:p>
    <w:p>
      <w:pPr>
        <w:spacing w:line="360" w:lineRule="auto"/>
        <w:rPr>
          <w:color w:val="auto"/>
          <w:highlight w:val="none"/>
        </w:rPr>
      </w:pPr>
    </w:p>
    <w:p>
      <w:pPr>
        <w:pStyle w:val="5"/>
        <w:spacing w:line="360" w:lineRule="auto"/>
        <w:rPr>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8"/>
        <w:spacing w:line="360" w:lineRule="auto"/>
        <w:ind w:firstLine="210"/>
        <w:rPr>
          <w:color w:val="auto"/>
          <w:highlight w:val="none"/>
        </w:rPr>
      </w:pPr>
    </w:p>
    <w:p>
      <w:pPr>
        <w:pStyle w:val="7"/>
        <w:spacing w:line="360" w:lineRule="auto"/>
        <w:rPr>
          <w:color w:val="auto"/>
          <w:highlight w:val="none"/>
        </w:rPr>
      </w:pPr>
    </w:p>
    <w:p>
      <w:pPr>
        <w:pStyle w:val="3"/>
        <w:spacing w:line="360" w:lineRule="auto"/>
        <w:rPr>
          <w:color w:val="auto"/>
          <w:highlight w:val="none"/>
        </w:rPr>
      </w:pPr>
    </w:p>
    <w:p>
      <w:pPr>
        <w:pStyle w:val="7"/>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5"/>
        <w:spacing w:line="360" w:lineRule="auto"/>
        <w:rPr>
          <w:color w:val="auto"/>
          <w:highlight w:val="none"/>
        </w:rPr>
      </w:pPr>
    </w:p>
    <w:p>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7"/>
        <w:spacing w:after="120" w:line="360" w:lineRule="auto"/>
        <w:outlineLvl w:val="9"/>
        <w:rPr>
          <w:rFonts w:hAnsi="宋体" w:cs="宋体"/>
          <w:b/>
          <w:color w:val="auto"/>
          <w:sz w:val="36"/>
          <w:highlight w:val="none"/>
        </w:rPr>
      </w:pPr>
    </w:p>
    <w:p>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7"/>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7"/>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19"/>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2"/>
                <w:rFonts w:hint="eastAsia"/>
                <w:color w:val="auto"/>
                <w:highlight w:val="none"/>
              </w:rPr>
              <w:t> </w:t>
            </w:r>
          </w:p>
          <w:p>
            <w:pPr>
              <w:pStyle w:val="16"/>
              <w:spacing w:before="0" w:beforeAutospacing="0" w:after="0" w:afterAutospacing="0" w:line="360" w:lineRule="auto"/>
              <w:jc w:val="center"/>
              <w:rPr>
                <w:color w:val="auto"/>
                <w:highlight w:val="none"/>
              </w:rPr>
            </w:pPr>
            <w:r>
              <w:rPr>
                <w:rStyle w:val="22"/>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2"/>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6"/>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6"/>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2"/>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2"/>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2"/>
        <w:spacing w:line="360" w:lineRule="auto"/>
        <w:ind w:firstLine="480"/>
        <w:jc w:val="right"/>
        <w:rPr>
          <w:rFonts w:hint="default" w:ascii="宋体" w:hAnsi="宋体" w:cs="宋体"/>
          <w:color w:val="auto"/>
          <w:sz w:val="24"/>
          <w:szCs w:val="24"/>
          <w:highlight w:val="none"/>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
        <w:spacing w:line="360" w:lineRule="auto"/>
        <w:ind w:left="0" w:leftChars="0"/>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4"/>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19"/>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ind w:left="0" w:leftChars="0"/>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pStyle w:val="14"/>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spacing w:line="360" w:lineRule="auto"/>
        <w:ind w:left="0" w:leftChars="0"/>
        <w:rPr>
          <w:rFonts w:ascii="宋体" w:hAnsi="宋体" w:cs="宋体"/>
          <w:b/>
          <w:bCs/>
          <w:color w:val="auto"/>
          <w:sz w:val="28"/>
          <w:szCs w:val="28"/>
          <w:highlight w:val="none"/>
        </w:rPr>
      </w:pPr>
    </w:p>
    <w:p>
      <w:pPr>
        <w:pStyle w:val="14"/>
        <w:spacing w:line="360" w:lineRule="auto"/>
        <w:rPr>
          <w:rFonts w:ascii="宋体" w:hAnsi="宋体" w:cs="宋体"/>
          <w:b/>
          <w:bCs/>
          <w:color w:val="auto"/>
          <w:sz w:val="28"/>
          <w:szCs w:val="28"/>
          <w:highlight w:val="none"/>
        </w:rPr>
      </w:pPr>
    </w:p>
    <w:p>
      <w:pPr>
        <w:pStyle w:val="14"/>
        <w:spacing w:line="360" w:lineRule="auto"/>
        <w:rPr>
          <w:rFonts w:ascii="宋体" w:hAnsi="宋体" w:cs="宋体"/>
          <w:b/>
          <w:bCs/>
          <w:color w:val="auto"/>
          <w:sz w:val="28"/>
          <w:szCs w:val="28"/>
          <w:highlight w:val="none"/>
        </w:rPr>
      </w:pPr>
    </w:p>
    <w:p>
      <w:pPr>
        <w:pStyle w:val="3"/>
        <w:spacing w:line="360" w:lineRule="auto"/>
        <w:ind w:left="0" w:leftChars="0"/>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4"/>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4"/>
        <w:spacing w:line="360" w:lineRule="auto"/>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4"/>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4"/>
        <w:spacing w:line="360" w:lineRule="auto"/>
        <w:rPr>
          <w:rFonts w:ascii="宋体" w:hAnsi="宋体" w:cs="宋体"/>
          <w:b/>
          <w:bCs/>
          <w:color w:val="auto"/>
          <w:sz w:val="28"/>
          <w:szCs w:val="28"/>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14"/>
        <w:spacing w:line="360" w:lineRule="auto"/>
        <w:rPr>
          <w:color w:val="auto"/>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7"/>
        <w:spacing w:line="360" w:lineRule="auto"/>
        <w:rPr>
          <w:rFonts w:ascii="楷体_GB2312" w:eastAsia="楷体_GB2312"/>
          <w:b/>
          <w:color w:val="auto"/>
          <w:sz w:val="40"/>
          <w:szCs w:val="40"/>
          <w:highlight w:val="none"/>
        </w:rPr>
      </w:pPr>
    </w:p>
    <w:p>
      <w:pPr>
        <w:pStyle w:val="3"/>
        <w:spacing w:line="360" w:lineRule="auto"/>
        <w:rPr>
          <w:rFonts w:ascii="楷体_GB2312" w:eastAsia="楷体_GB2312"/>
          <w:b/>
          <w:color w:val="auto"/>
          <w:sz w:val="40"/>
          <w:szCs w:val="40"/>
          <w:highlight w:val="none"/>
        </w:rPr>
      </w:pPr>
    </w:p>
    <w:p>
      <w:pPr>
        <w:pStyle w:val="7"/>
        <w:spacing w:line="360" w:lineRule="auto"/>
        <w:rPr>
          <w:rFonts w:ascii="楷体_GB2312" w:eastAsia="楷体_GB2312"/>
          <w:b/>
          <w:color w:val="auto"/>
          <w:sz w:val="40"/>
          <w:szCs w:val="40"/>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4"/>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rPr>
          <w:rFonts w:ascii="楷体_GB2312" w:eastAsia="楷体_GB2312"/>
          <w:b/>
          <w:color w:val="auto"/>
          <w:sz w:val="44"/>
          <w:szCs w:val="44"/>
          <w:highlight w:val="none"/>
        </w:rPr>
      </w:pPr>
    </w:p>
    <w:p>
      <w:pPr>
        <w:pStyle w:val="7"/>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7"/>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7"/>
        <w:spacing w:line="360" w:lineRule="auto"/>
        <w:rPr>
          <w:color w:val="auto"/>
          <w:highlight w:val="none"/>
        </w:rPr>
      </w:pPr>
    </w:p>
    <w:p>
      <w:pPr>
        <w:pStyle w:val="3"/>
        <w:spacing w:line="360" w:lineRule="auto"/>
        <w:rPr>
          <w:rFonts w:ascii="楷体_GB2312" w:eastAsia="楷体_GB2312"/>
          <w:b/>
          <w:color w:val="auto"/>
          <w:sz w:val="44"/>
          <w:szCs w:val="44"/>
          <w:highlight w:val="none"/>
        </w:rPr>
      </w:pPr>
    </w:p>
    <w:p>
      <w:pPr>
        <w:pStyle w:val="7"/>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7"/>
        <w:spacing w:line="360" w:lineRule="auto"/>
        <w:rPr>
          <w:rFonts w:ascii="楷体_GB2312" w:eastAsia="楷体_GB2312"/>
          <w:b/>
          <w:color w:val="auto"/>
          <w:sz w:val="44"/>
          <w:szCs w:val="44"/>
          <w:highlight w:val="none"/>
        </w:rPr>
      </w:pPr>
    </w:p>
    <w:p>
      <w:pPr>
        <w:pStyle w:val="14"/>
        <w:spacing w:line="360" w:lineRule="auto"/>
        <w:rPr>
          <w:rFonts w:ascii="楷体_GB2312" w:eastAsia="楷体_GB2312"/>
          <w:b/>
          <w:color w:val="auto"/>
          <w:sz w:val="44"/>
          <w:szCs w:val="44"/>
          <w:highlight w:val="none"/>
        </w:rPr>
      </w:pPr>
    </w:p>
    <w:p>
      <w:pPr>
        <w:pStyle w:val="14"/>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5"/>
        <w:spacing w:line="360" w:lineRule="auto"/>
        <w:rPr>
          <w:color w:val="auto"/>
          <w:highlight w:val="none"/>
        </w:rPr>
      </w:pPr>
    </w:p>
    <w:p>
      <w:pPr>
        <w:spacing w:line="360" w:lineRule="auto"/>
        <w:ind w:firstLine="1920" w:firstLineChars="200"/>
        <w:jc w:val="left"/>
        <w:rPr>
          <w:color w:val="auto"/>
          <w:sz w:val="96"/>
          <w:szCs w:val="96"/>
          <w:highlight w:val="none"/>
        </w:rPr>
      </w:pPr>
    </w:p>
    <w:p>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4"/>
        <w:spacing w:line="360" w:lineRule="auto"/>
        <w:rPr>
          <w:color w:val="auto"/>
          <w:highlight w:val="none"/>
        </w:rPr>
      </w:pPr>
    </w:p>
    <w:p>
      <w:pPr>
        <w:pStyle w:val="6"/>
        <w:keepNext w:val="0"/>
        <w:keepLines w:val="0"/>
        <w:spacing w:line="360" w:lineRule="auto"/>
        <w:rPr>
          <w:rFonts w:hint="default"/>
          <w:color w:val="auto"/>
          <w:highlight w:val="none"/>
        </w:rPr>
      </w:pPr>
      <w:r>
        <w:rPr>
          <w:color w:val="auto"/>
          <w:highlight w:val="none"/>
        </w:rPr>
        <w:t>1、报价一览表</w:t>
      </w:r>
    </w:p>
    <w:p>
      <w:pPr>
        <w:pStyle w:val="5"/>
        <w:spacing w:line="360" w:lineRule="auto"/>
        <w:rPr>
          <w:color w:val="auto"/>
          <w:sz w:val="24"/>
          <w:szCs w:val="24"/>
          <w:highlight w:val="none"/>
        </w:rPr>
      </w:pPr>
      <w:r>
        <w:rPr>
          <w:rFonts w:hint="eastAsia"/>
          <w:color w:val="auto"/>
          <w:sz w:val="24"/>
          <w:szCs w:val="24"/>
          <w:highlight w:val="none"/>
        </w:rPr>
        <w:t xml:space="preserve">项目编号：    </w:t>
      </w:r>
    </w:p>
    <w:p>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pPr>
              <w:pStyle w:val="10"/>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报价折扣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5"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6"/>
        <w:spacing w:line="360" w:lineRule="auto"/>
        <w:rPr>
          <w:rFonts w:hint="default"/>
          <w:color w:val="auto"/>
          <w:highlight w:val="none"/>
        </w:rPr>
      </w:pPr>
      <w:r>
        <w:rPr>
          <w:color w:val="auto"/>
          <w:highlight w:val="none"/>
        </w:rPr>
        <w:t>2、服务分项报价表（若有）</w:t>
      </w:r>
    </w:p>
    <w:p>
      <w:pPr>
        <w:pStyle w:val="5"/>
        <w:spacing w:line="360" w:lineRule="auto"/>
        <w:rPr>
          <w:color w:val="auto"/>
          <w:sz w:val="24"/>
          <w:szCs w:val="24"/>
          <w:highlight w:val="none"/>
        </w:rPr>
      </w:pPr>
      <w:r>
        <w:rPr>
          <w:rFonts w:hint="eastAsia"/>
          <w:color w:val="auto"/>
          <w:sz w:val="24"/>
          <w:szCs w:val="24"/>
          <w:highlight w:val="none"/>
        </w:rPr>
        <w:t xml:space="preserve">项目编号：    </w:t>
      </w:r>
    </w:p>
    <w:p>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0790014"/>
    <w:rsid w:val="04B54EEF"/>
    <w:rsid w:val="09A06EBC"/>
    <w:rsid w:val="0C126086"/>
    <w:rsid w:val="14000B07"/>
    <w:rsid w:val="15235970"/>
    <w:rsid w:val="165D14C2"/>
    <w:rsid w:val="191A53F6"/>
    <w:rsid w:val="1ADE3486"/>
    <w:rsid w:val="1E2C09AB"/>
    <w:rsid w:val="1E657DEF"/>
    <w:rsid w:val="1E7B7C40"/>
    <w:rsid w:val="1E897F61"/>
    <w:rsid w:val="23C8685E"/>
    <w:rsid w:val="2778394C"/>
    <w:rsid w:val="27C42B43"/>
    <w:rsid w:val="2BB5293D"/>
    <w:rsid w:val="2F4430C3"/>
    <w:rsid w:val="314B5F88"/>
    <w:rsid w:val="38AD2C56"/>
    <w:rsid w:val="3AB52C3C"/>
    <w:rsid w:val="3D6C7658"/>
    <w:rsid w:val="3DC2628F"/>
    <w:rsid w:val="3F19599A"/>
    <w:rsid w:val="489259CA"/>
    <w:rsid w:val="4CE2174D"/>
    <w:rsid w:val="4DB8035E"/>
    <w:rsid w:val="4E182762"/>
    <w:rsid w:val="51497716"/>
    <w:rsid w:val="51C7007A"/>
    <w:rsid w:val="522C2C59"/>
    <w:rsid w:val="55952FB1"/>
    <w:rsid w:val="5679358D"/>
    <w:rsid w:val="572F491B"/>
    <w:rsid w:val="5B761B8D"/>
    <w:rsid w:val="5F140D69"/>
    <w:rsid w:val="5F480A54"/>
    <w:rsid w:val="641847D4"/>
    <w:rsid w:val="667E19B3"/>
    <w:rsid w:val="67BA53B7"/>
    <w:rsid w:val="69E70454"/>
    <w:rsid w:val="6A1A1EE9"/>
    <w:rsid w:val="730946AF"/>
    <w:rsid w:val="74B308B5"/>
    <w:rsid w:val="75247769"/>
    <w:rsid w:val="75EF6884"/>
    <w:rsid w:val="7ACD76CA"/>
    <w:rsid w:val="7B4258E0"/>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6">
    <w:name w:val="heading 3"/>
    <w:basedOn w:val="4"/>
    <w:next w:val="1"/>
    <w:autoRedefine/>
    <w:unhideWhenUsed/>
    <w:qFormat/>
    <w:uiPriority w:val="9"/>
    <w:pPr>
      <w:keepNext/>
      <w:keepLines/>
      <w:spacing w:before="260" w:after="260" w:line="416" w:lineRule="auto"/>
      <w:outlineLvl w:val="2"/>
    </w:pPr>
    <w:rPr>
      <w:szCs w:val="32"/>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tabs>
        <w:tab w:val="left" w:pos="4606"/>
      </w:tabs>
      <w:ind w:firstLine="420"/>
    </w:pPr>
  </w:style>
  <w:style w:type="paragraph" w:styleId="3">
    <w:name w:val="Body Text Indent"/>
    <w:basedOn w:val="1"/>
    <w:next w:val="2"/>
    <w:qFormat/>
    <w:uiPriority w:val="0"/>
    <w:pPr>
      <w:spacing w:after="120"/>
      <w:ind w:left="420" w:leftChars="200"/>
    </w:pPr>
  </w:style>
  <w:style w:type="paragraph" w:styleId="7">
    <w:name w:val="Normal Indent"/>
    <w:basedOn w:val="1"/>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4"/>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rPr>
  </w:style>
  <w:style w:type="paragraph" w:styleId="15">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9"/>
    <w:next w:val="2"/>
    <w:autoRedefine/>
    <w:qFormat/>
    <w:uiPriority w:val="0"/>
    <w:pPr>
      <w:ind w:firstLine="420" w:firstLineChars="100"/>
    </w:pPr>
    <w:rPr>
      <w:rFonts w:ascii="Times New Roman" w:hAnsi="Times New Roman"/>
      <w:szCs w:val="20"/>
    </w:rPr>
  </w:style>
  <w:style w:type="table" w:styleId="20">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7">
    <w:name w:val="样式3"/>
    <w:basedOn w:val="10"/>
    <w:autoRedefine/>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autoRedefin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CN" w:bidi="ar-SA"/>
    </w:rPr>
  </w:style>
  <w:style w:type="character" w:customStyle="1" w:styleId="33">
    <w:name w:val="页眉 Char"/>
    <w:basedOn w:val="21"/>
    <w:link w:val="15"/>
    <w:qFormat/>
    <w:uiPriority w:val="0"/>
    <w:rPr>
      <w:rFonts w:ascii="Calibri" w:hAnsi="Calibri"/>
      <w:kern w:val="2"/>
      <w:sz w:val="18"/>
      <w:szCs w:val="18"/>
    </w:rPr>
  </w:style>
  <w:style w:type="character" w:customStyle="1" w:styleId="34">
    <w:name w:val="批注框文本 Char"/>
    <w:basedOn w:val="21"/>
    <w:link w:val="12"/>
    <w:autoRedefine/>
    <w:qFormat/>
    <w:uiPriority w:val="0"/>
    <w:rPr>
      <w:rFonts w:ascii="Calibri" w:hAnsi="Calibri"/>
      <w:kern w:val="2"/>
      <w:sz w:val="18"/>
      <w:szCs w:val="18"/>
    </w:rPr>
  </w:style>
  <w:style w:type="character" w:customStyle="1" w:styleId="35">
    <w:name w:val="font31"/>
    <w:basedOn w:val="21"/>
    <w:qFormat/>
    <w:uiPriority w:val="0"/>
    <w:rPr>
      <w:rFonts w:hint="eastAsia" w:ascii="宋体" w:hAnsi="宋体" w:eastAsia="宋体" w:cs="宋体"/>
      <w:color w:val="000000"/>
      <w:sz w:val="22"/>
      <w:szCs w:val="22"/>
      <w:u w:val="none"/>
    </w:rPr>
  </w:style>
  <w:style w:type="paragraph" w:customStyle="1" w:styleId="36">
    <w:name w:val="Table Paragraph"/>
    <w:basedOn w:val="1"/>
    <w:qFormat/>
    <w:uiPriority w:val="1"/>
    <w:pPr>
      <w:autoSpaceDE w:val="0"/>
      <w:autoSpaceDN w:val="0"/>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8</TotalTime>
  <ScaleCrop>false</ScaleCrop>
  <LinksUpToDate>false</LinksUpToDate>
  <CharactersWithSpaces>25333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2024-01-29T04:29:00Z</cp:lastPrinted>
  <dcterms:modified xsi:type="dcterms:W3CDTF">2024-02-02T06:57:16Z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D143585CD7884928986EC4019E70291D_13</vt:lpwstr>
  </property>
</Properties>
</file>